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44" w:type="dxa"/>
        <w:jc w:val="center"/>
        <w:tblInd w:w="-562" w:type="dxa"/>
        <w:tblBorders>
          <w:top w:val="thinThickLargeGap" w:sz="24" w:space="0" w:color="FF0000"/>
          <w:left w:val="thinThickLargeGap" w:sz="24" w:space="0" w:color="FF0000"/>
          <w:bottom w:val="thickThinLargeGap" w:sz="24" w:space="0" w:color="FF0000"/>
          <w:right w:val="thickThinLargeGap" w:sz="24" w:space="0" w:color="FF0000"/>
          <w:insideH w:val="single" w:sz="6" w:space="0" w:color="FF0000"/>
          <w:insideV w:val="single" w:sz="6" w:space="0" w:color="FF0000"/>
        </w:tblBorders>
        <w:tblLayout w:type="fixed"/>
        <w:tblCellMar>
          <w:left w:w="0" w:type="dxa"/>
          <w:right w:w="0" w:type="dxa"/>
        </w:tblCellMar>
        <w:tblLook w:val="04A0"/>
      </w:tblPr>
      <w:tblGrid>
        <w:gridCol w:w="8844"/>
      </w:tblGrid>
      <w:tr w:rsidR="00890DF6">
        <w:trPr>
          <w:trHeight w:hRule="exact" w:val="1196"/>
          <w:jc w:val="center"/>
        </w:trPr>
        <w:tc>
          <w:tcPr>
            <w:tcW w:w="8844" w:type="dxa"/>
            <w:tcBorders>
              <w:top w:val="thinThickLargeGap" w:sz="24" w:space="0" w:color="FF0000"/>
              <w:left w:val="thinThickLargeGap" w:sz="24" w:space="0" w:color="FF0000"/>
              <w:bottom w:val="thickThinLargeGap" w:sz="24" w:space="0" w:color="FF0000"/>
              <w:right w:val="thickThinLargeGap" w:sz="24" w:space="0" w:color="FF0000"/>
            </w:tcBorders>
            <w:shd w:val="clear" w:color="auto" w:fill="FF0000"/>
          </w:tcPr>
          <w:p w:rsidR="00890DF6" w:rsidRDefault="00AF5955">
            <w:pPr>
              <w:spacing w:after="240"/>
              <w:jc w:val="center"/>
              <w:rPr>
                <w:rFonts w:ascii="方正粗宋简体" w:eastAsia="方正粗宋简体"/>
                <w:spacing w:val="100"/>
                <w:w w:val="75"/>
                <w:sz w:val="72"/>
                <w:szCs w:val="72"/>
              </w:rPr>
            </w:pPr>
            <w:r>
              <w:rPr>
                <w:rFonts w:ascii="方正粗宋简体" w:eastAsia="方正粗宋简体" w:hint="eastAsia"/>
                <w:color w:val="FFFFFF"/>
                <w:spacing w:val="100"/>
                <w:w w:val="75"/>
                <w:sz w:val="72"/>
                <w:szCs w:val="72"/>
              </w:rPr>
              <w:t>高 教 动 态</w:t>
            </w:r>
          </w:p>
        </w:tc>
      </w:tr>
    </w:tbl>
    <w:p w:rsidR="00890DF6" w:rsidRDefault="00AF5955" w:rsidP="00E17E75">
      <w:pPr>
        <w:spacing w:beforeLines="50" w:afterLines="50" w:line="360" w:lineRule="auto"/>
        <w:jc w:val="center"/>
        <w:rPr>
          <w:rFonts w:asciiTheme="minorEastAsia" w:eastAsiaTheme="minorEastAsia" w:hAnsiTheme="minorEastAsia" w:cs="Times New Roman"/>
          <w:sz w:val="24"/>
        </w:rPr>
      </w:pPr>
      <w:r>
        <w:rPr>
          <w:rFonts w:asciiTheme="minorEastAsia" w:eastAsiaTheme="minorEastAsia" w:hAnsiTheme="minorEastAsia" w:cs="Times New Roman"/>
          <w:sz w:val="24"/>
        </w:rPr>
        <w:t>201</w:t>
      </w:r>
      <w:r>
        <w:rPr>
          <w:rFonts w:asciiTheme="minorEastAsia" w:eastAsiaTheme="minorEastAsia" w:hAnsiTheme="minorEastAsia" w:cs="Times New Roman" w:hint="eastAsia"/>
          <w:sz w:val="24"/>
        </w:rPr>
        <w:t>8</w:t>
      </w:r>
      <w:r>
        <w:rPr>
          <w:rFonts w:asciiTheme="minorEastAsia" w:eastAsiaTheme="minorEastAsia" w:hAnsiTheme="minorEastAsia" w:cs="Times New Roman"/>
          <w:sz w:val="24"/>
        </w:rPr>
        <w:t>年第</w:t>
      </w:r>
      <w:r w:rsidR="0004694B">
        <w:rPr>
          <w:rFonts w:asciiTheme="minorEastAsia" w:eastAsiaTheme="minorEastAsia" w:hAnsiTheme="minorEastAsia" w:cs="Times New Roman" w:hint="eastAsia"/>
          <w:sz w:val="24"/>
        </w:rPr>
        <w:t>4</w:t>
      </w:r>
      <w:r>
        <w:rPr>
          <w:rFonts w:asciiTheme="minorEastAsia" w:eastAsiaTheme="minorEastAsia" w:hAnsiTheme="minorEastAsia" w:cs="Times New Roman"/>
          <w:sz w:val="24"/>
        </w:rPr>
        <w:t>期（总第13</w:t>
      </w:r>
      <w:r w:rsidR="00E17E75">
        <w:rPr>
          <w:rFonts w:asciiTheme="minorEastAsia" w:eastAsiaTheme="minorEastAsia" w:hAnsiTheme="minorEastAsia" w:cs="Times New Roman" w:hint="eastAsia"/>
          <w:sz w:val="24"/>
        </w:rPr>
        <w:t>8</w:t>
      </w:r>
      <w:r>
        <w:rPr>
          <w:rFonts w:asciiTheme="minorEastAsia" w:eastAsiaTheme="minorEastAsia" w:hAnsiTheme="minorEastAsia" w:cs="Times New Roman"/>
          <w:sz w:val="24"/>
        </w:rPr>
        <w:t>期）</w:t>
      </w:r>
    </w:p>
    <w:p w:rsidR="00890DF6" w:rsidRDefault="009143FA">
      <w:pPr>
        <w:spacing w:after="240"/>
        <w:ind w:right="440" w:firstLineChars="100" w:firstLine="220"/>
        <w:rPr>
          <w:rFonts w:asciiTheme="minorEastAsia" w:eastAsiaTheme="minorEastAsia" w:hAnsiTheme="minorEastAsia"/>
          <w:sz w:val="24"/>
        </w:rPr>
      </w:pPr>
      <w:r w:rsidRPr="009143FA">
        <w:rPr>
          <w:rFonts w:ascii="Times New Roman" w:eastAsiaTheme="minorEastAsia" w:hAnsi="Times New Roman" w:cs="Times New Roman"/>
        </w:rPr>
        <w:pict>
          <v:line id="直接连接符 10" o:spid="_x0000_s1026" style="position:absolute;left:0;text-align:left;z-index:251660288;mso-position-horizontal-relative:margin" from="4.85pt,23.65pt" to="450.35pt,23.65pt" o:gfxdata="UEsDBAoAAAAAAIdO4kAAAAAAAAAAAAAAAAAEAAAAZHJzL1BLAwQUAAAACACHTuJAJxsR/NcAAAAH&#10;AQAADwAAAGRycy9kb3ducmV2LnhtbE2OX0vDMBTF3wW/Q7iCL7IlU3GuNh0iiNM9uFVBfMuaa1vW&#10;3NQk3ea394oP+nj+cM4vnx9cJ3YYYutJw2SsQCBV3rZUa3h9uR9dg4jJkDWdJ9TwhRHmxfFRbjLr&#10;97TGXZlqwSMUM6OhSanPpIxVg87Ese+ROPvwwZnEMtTSBrPncdfJc6WupDMt8UNjerxrsNqWg9Pg&#10;nt2tfF8+DGVYPT69fS4Xq+3ZQuvTk4m6AZHwkP7K8IPP6FAw08YPZKPoNMymXNRwOb0AwfFMKTY2&#10;v4Yscvmfv/gGUEsDBBQAAAAIAIdO4kAy9bZfzQEAAF4DAAAOAAAAZHJzL2Uyb0RvYy54bWytU8GO&#10;0zAQvSPxD5bvNMmiLlXUdA9dlcsClXb5ANd2GgvHY3ncJv0JfgCJG5w4cudvWD6DsbctC9wQPYxq&#10;z8zzvPcm86uxt2yvAxpwDa8mJWfaSVDGbRv+9m71bMYZRuGUsOB0ww8a+dXi6ZP54Gt9AR1YpQMj&#10;EIf14BvexejrokDZ6V7gBLx2lGwh9CLSMWwLFcRA6L0tLsryshggKB9AakS6vX5I8kXGb1st45u2&#10;RR2ZbTjNFnMMOW5SLBZzUW+D8J2RxzHEP0zRC+Po0TPUtYiC7YL5C6o3MgBCGycS+gLa1kidORCb&#10;qvyDzW0nvM5cSBz0Z5nw/8HK1/t1YEaRd5w50ZNF9x++fn//6ce3jxTvv3xmVVZp8FhT8dKtQ+Ip&#10;R3frb0C+Q+Zg2Qm31Xnau4MniCrpWvzWkg7o6a3N8AoU1YhdhCzZ2IY+QZIYbMzOHM7O6DEySZfT&#10;y+mL2ZQMlKdcIepTow8YX2roWfrTcGtcEk3UYn+DMQ0i6lNJunawMtZm461jQ8Ofz6qyzB0I1qiU&#10;TXUYtpulDWwvaHdWq5J+mRZlHpcF2Dn18Ip1R9aJaFpBrDegDutwUoNMzOMcFy5tyeNz7v71WS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cbEfzXAAAABwEAAA8AAAAAAAAAAQAgAAAAIgAAAGRy&#10;cy9kb3ducmV2LnhtbFBLAQIUABQAAAAIAIdO4kAy9bZfzQEAAF4DAAAOAAAAAAAAAAEAIAAAACYB&#10;AABkcnMvZTJvRG9jLnhtbFBLBQYAAAAABgAGAFkBAABlBQAAAAA=&#10;" strokecolor="red" strokeweight="3pt">
            <w10:wrap anchorx="margin"/>
          </v:line>
        </w:pict>
      </w:r>
      <w:r w:rsidR="00AF5955">
        <w:rPr>
          <w:rFonts w:ascii="Times New Roman" w:eastAsiaTheme="minorEastAsia" w:hAnsi="Times New Roman" w:cs="Times New Roman"/>
          <w:sz w:val="24"/>
        </w:rPr>
        <w:t>武汉轻工大学发展规划处</w:t>
      </w:r>
      <w:r w:rsidR="00AF5955">
        <w:rPr>
          <w:rFonts w:ascii="Times New Roman" w:eastAsiaTheme="minorEastAsia" w:hAnsi="Times New Roman" w:cs="Times New Roman"/>
          <w:sz w:val="24"/>
        </w:rPr>
        <w:t xml:space="preserve"> </w:t>
      </w:r>
      <w:r w:rsidR="00AF5955">
        <w:rPr>
          <w:rFonts w:ascii="Times New Roman" w:eastAsiaTheme="minorEastAsia" w:hAnsi="Times New Roman" w:cs="Times New Roman" w:hint="eastAsia"/>
          <w:sz w:val="24"/>
        </w:rPr>
        <w:t xml:space="preserve">                                     </w:t>
      </w:r>
      <w:r w:rsidR="00AF5955">
        <w:rPr>
          <w:rFonts w:ascii="Times New Roman" w:eastAsiaTheme="minorEastAsia" w:hAnsi="Times New Roman" w:cs="Times New Roman"/>
          <w:sz w:val="24"/>
        </w:rPr>
        <w:t>201</w:t>
      </w:r>
      <w:r w:rsidR="00AF5955">
        <w:rPr>
          <w:rFonts w:ascii="Times New Roman" w:eastAsiaTheme="minorEastAsia" w:hAnsi="Times New Roman" w:cs="Times New Roman" w:hint="eastAsia"/>
          <w:sz w:val="24"/>
        </w:rPr>
        <w:t>8</w:t>
      </w:r>
      <w:r w:rsidR="00AF5955">
        <w:rPr>
          <w:rFonts w:ascii="Times New Roman" w:eastAsiaTheme="minorEastAsia" w:hAnsi="Times New Roman" w:cs="Times New Roman"/>
          <w:sz w:val="24"/>
        </w:rPr>
        <w:t>年</w:t>
      </w:r>
      <w:r w:rsidR="00E17E75">
        <w:rPr>
          <w:rFonts w:ascii="Times New Roman" w:eastAsiaTheme="minorEastAsia" w:hAnsi="Times New Roman" w:cs="Times New Roman" w:hint="eastAsia"/>
          <w:sz w:val="24"/>
        </w:rPr>
        <w:t>6</w:t>
      </w:r>
      <w:r w:rsidR="00AF5955">
        <w:rPr>
          <w:rFonts w:ascii="Times New Roman" w:eastAsiaTheme="minorEastAsia" w:hAnsi="Times New Roman" w:cs="Times New Roman"/>
          <w:sz w:val="24"/>
        </w:rPr>
        <w:t>月</w:t>
      </w:r>
    </w:p>
    <w:p w:rsidR="00890DF6" w:rsidRDefault="00890DF6">
      <w:pPr>
        <w:spacing w:after="240"/>
        <w:jc w:val="center"/>
        <w:rPr>
          <w:rFonts w:ascii="黑体" w:eastAsia="黑体" w:hAnsi="黑体"/>
          <w:sz w:val="28"/>
          <w:szCs w:val="28"/>
        </w:rPr>
      </w:pPr>
    </w:p>
    <w:p w:rsidR="00890DF6" w:rsidRDefault="00AF5955">
      <w:pPr>
        <w:spacing w:after="240"/>
        <w:jc w:val="center"/>
        <w:rPr>
          <w:rFonts w:ascii="黑体" w:eastAsia="黑体" w:hAnsi="黑体"/>
          <w:sz w:val="28"/>
          <w:szCs w:val="28"/>
        </w:rPr>
      </w:pPr>
      <w:r>
        <w:rPr>
          <w:rFonts w:ascii="黑体" w:eastAsia="黑体" w:hAnsi="黑体" w:hint="eastAsia"/>
          <w:sz w:val="28"/>
          <w:szCs w:val="28"/>
        </w:rPr>
        <w:t>【高教要闻】</w:t>
      </w:r>
    </w:p>
    <w:p w:rsidR="007A5747" w:rsidRDefault="003D13B2" w:rsidP="00E17E75">
      <w:pPr>
        <w:spacing w:beforeLines="50" w:afterLines="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t>▲</w:t>
      </w:r>
      <w:r w:rsidR="00036F8B" w:rsidRPr="00036F8B">
        <w:rPr>
          <w:rFonts w:asciiTheme="minorEastAsia" w:eastAsiaTheme="minorEastAsia" w:hAnsiTheme="minorEastAsia"/>
          <w:b/>
          <w:bCs/>
          <w:sz w:val="24"/>
          <w:szCs w:val="24"/>
        </w:rPr>
        <w:t>新时代全国高等学校本科教育工作会议召开</w:t>
      </w:r>
      <w:r w:rsidR="00380056">
        <w:rPr>
          <w:rFonts w:asciiTheme="minorEastAsia" w:eastAsiaTheme="minorEastAsia" w:hAnsiTheme="minorEastAsia" w:hint="eastAsia"/>
          <w:b/>
          <w:bCs/>
          <w:sz w:val="24"/>
          <w:szCs w:val="24"/>
        </w:rPr>
        <w:t xml:space="preserve"> </w:t>
      </w:r>
      <w:r w:rsidR="00380056" w:rsidRPr="00380056">
        <w:rPr>
          <w:rFonts w:asciiTheme="minorEastAsia" w:eastAsiaTheme="minorEastAsia" w:hAnsiTheme="minorEastAsia" w:hint="eastAsia"/>
          <w:sz w:val="21"/>
          <w:szCs w:val="21"/>
        </w:rPr>
        <w:t>近日，教育部在四川成都召开新时代全国高等学校本科教育工作会议。会议强调要坚持“以本为本”，推进“四个回归”，加快建设高水平本科教育、全面提高人才培养能力，造就堪当民族复兴大任的时代新人。教育部党组书记、部长陈宝生出席会议并讲话。陈宝生指出，高教大计、本科为本，本科不牢、地动山摇。人才培养是大学的本质职能，本科教育是大学的根和本，在高等教育中是具有战略地位的教育、是纲举目张的教育。陈宝生强调，要推进“四个回归”，把人才培养的质量和效果作为检验一切工作的根本标准。陈宝生强调，写好“奋进之笔”，建设高水平本科教育，要推动重点领域、关键环节改革不断取得突破。教育部党组成员、副部长林蕙青主持会议。上海市教委、江西教育厅、北京大学、清华大学、四川大学、天津大学、东莞理工学院、青海大学做交流发言。会议在四川大学设主会场，各省教育行政部门和部分高校设分会场。中央有关部门教育司（局）、各省份教育行政部门、新疆生产建设兵团教育局、各计划单列市教育局负责同志，教育部有关司局、教育部直属高校、部省合建高校负责同志，高校管理人员、教师代表等共5.2万人参加会议。</w:t>
      </w:r>
      <w:r>
        <w:rPr>
          <w:rFonts w:ascii="Times New Roman" w:eastAsiaTheme="minorEastAsia" w:hAnsi="Times New Roman" w:cs="Times New Roman"/>
          <w:sz w:val="21"/>
          <w:szCs w:val="21"/>
        </w:rPr>
        <w:t>来源：《</w:t>
      </w:r>
      <w:r w:rsidR="00380056">
        <w:rPr>
          <w:rFonts w:ascii="Times New Roman" w:eastAsiaTheme="minorEastAsia" w:hAnsi="Times New Roman" w:cs="Times New Roman" w:hint="eastAsia"/>
          <w:sz w:val="21"/>
          <w:szCs w:val="21"/>
        </w:rPr>
        <w:t>中国教育报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380056">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2</w:t>
      </w:r>
      <w:r w:rsidR="00380056">
        <w:rPr>
          <w:rFonts w:ascii="Times New Roman" w:eastAsiaTheme="minorEastAsia" w:hAnsi="Times New Roman" w:cs="Times New Roman" w:hint="eastAsia"/>
          <w:sz w:val="21"/>
          <w:szCs w:val="21"/>
        </w:rPr>
        <w:t>2</w:t>
      </w:r>
      <w:r>
        <w:rPr>
          <w:rFonts w:ascii="Times New Roman" w:eastAsiaTheme="minorEastAsia" w:hAnsi="Times New Roman" w:cs="Times New Roman"/>
          <w:sz w:val="21"/>
          <w:szCs w:val="21"/>
        </w:rPr>
        <w:t>日）</w:t>
      </w:r>
    </w:p>
    <w:p w:rsidR="00890DF6" w:rsidRPr="00047F28" w:rsidRDefault="00AF5955" w:rsidP="00E17E75">
      <w:pPr>
        <w:spacing w:beforeLines="50" w:afterLines="0" w:line="324" w:lineRule="auto"/>
        <w:jc w:val="both"/>
        <w:rPr>
          <w:rFonts w:asciiTheme="minorEastAsia" w:eastAsiaTheme="minorEastAsia" w:hAnsiTheme="minorEastAsia" w:cs="Times New Roman"/>
          <w:sz w:val="21"/>
          <w:szCs w:val="21"/>
        </w:rPr>
      </w:pPr>
      <w:r>
        <w:rPr>
          <w:rFonts w:asciiTheme="minorEastAsia" w:eastAsiaTheme="minorEastAsia" w:hAnsiTheme="minorEastAsia" w:hint="eastAsia"/>
          <w:b/>
          <w:sz w:val="24"/>
          <w:szCs w:val="24"/>
        </w:rPr>
        <w:t>▲</w:t>
      </w:r>
      <w:r w:rsidR="00047F28" w:rsidRPr="00047F28">
        <w:rPr>
          <w:rFonts w:asciiTheme="minorEastAsia" w:eastAsiaTheme="minorEastAsia" w:hAnsiTheme="minorEastAsia"/>
          <w:b/>
          <w:bCs/>
          <w:sz w:val="24"/>
          <w:szCs w:val="24"/>
        </w:rPr>
        <w:t>我国846个工科专业进入全球工程教育“第一方阵”</w:t>
      </w:r>
      <w:r w:rsidR="00523AD8" w:rsidRPr="00047F28">
        <w:rPr>
          <w:rFonts w:asciiTheme="minorEastAsia" w:eastAsiaTheme="minorEastAsia" w:hAnsiTheme="minorEastAsia" w:cs="Times New Roman" w:hint="eastAsia"/>
          <w:sz w:val="21"/>
          <w:szCs w:val="21"/>
        </w:rPr>
        <w:t xml:space="preserve"> </w:t>
      </w:r>
      <w:r w:rsidR="00047F28" w:rsidRPr="00047F28">
        <w:rPr>
          <w:rFonts w:asciiTheme="minorEastAsia" w:eastAsiaTheme="minorEastAsia" w:hAnsiTheme="minorEastAsia" w:cs="Times New Roman" w:hint="eastAsia"/>
          <w:sz w:val="21"/>
          <w:szCs w:val="21"/>
        </w:rPr>
        <w:t>近日，</w:t>
      </w:r>
      <w:r w:rsidR="00047F28" w:rsidRPr="00047F28">
        <w:rPr>
          <w:rFonts w:asciiTheme="minorEastAsia" w:eastAsiaTheme="minorEastAsia" w:hAnsiTheme="minorEastAsia" w:cs="Times New Roman"/>
          <w:sz w:val="21"/>
          <w:szCs w:val="21"/>
        </w:rPr>
        <w:t>从教育部获悉，截至2017年底，教育部高等教育教学评估中心和中国工程教育专业认证协会共认证全国198所高校的846个工科专业。通过专业认证，标志着这些专业的质量实现了国际实质等效，进入全球工程教育的“第一方阵”。2016年，我国正式加入国际工程教育《华盛顿协议》组织。作为《华盛顿协议》正式成员，中国工程教育认证的结果已得到其他18个成员国（地区）认可。目前，我国工程教育专业认证已覆盖21个专业类，计划2020年实现所有专业大类全覆盖。据介绍，我国每年有120余万工科专业本科毕业生。通过认证专业的毕业生在《华盛顿协议》相关国家和地区申请工程师执业资格或申请研究生学位时，将享有当地毕业生同等待遇，为中国工科学生走向世界提供了国际统一的“通行证”。同时，认证结果在行业及企业内有较高的权威性，在部分行业工程师资格考试或能力评价中享有不同程度的减免和优惠。2006年，教育部启动工程教育专业认证试点工作。10多年来，我国以申请加入《华盛顿协议》为契机，以推进工程教育认证为抓手，全面深化工程教育改革，实施了“卓越工程师教育培养计划”等一系列改革举措。2017年，教育部启动了“新工科”建设，加快发展新兴工科专业，改造升级传统工科专业。</w:t>
      </w:r>
      <w:r w:rsidRPr="00047F28">
        <w:rPr>
          <w:rFonts w:asciiTheme="minorEastAsia" w:eastAsiaTheme="minorEastAsia" w:hAnsiTheme="minorEastAsia" w:cs="Times New Roman" w:hint="eastAsia"/>
          <w:sz w:val="21"/>
          <w:szCs w:val="21"/>
        </w:rPr>
        <w:t>来源：《</w:t>
      </w:r>
      <w:r w:rsidR="00047F28" w:rsidRPr="00047F28">
        <w:rPr>
          <w:rFonts w:asciiTheme="minorEastAsia" w:eastAsiaTheme="minorEastAsia" w:hAnsiTheme="minorEastAsia" w:cs="Times New Roman" w:hint="eastAsia"/>
          <w:sz w:val="21"/>
          <w:szCs w:val="21"/>
        </w:rPr>
        <w:t>新华网</w:t>
      </w:r>
      <w:r w:rsidRPr="00047F28">
        <w:rPr>
          <w:rFonts w:asciiTheme="minorEastAsia" w:eastAsiaTheme="minorEastAsia" w:hAnsiTheme="minorEastAsia" w:cs="Times New Roman" w:hint="eastAsia"/>
          <w:sz w:val="21"/>
          <w:szCs w:val="21"/>
        </w:rPr>
        <w:t>》（2018年</w:t>
      </w:r>
      <w:r w:rsidR="00047F28" w:rsidRPr="00047F28">
        <w:rPr>
          <w:rFonts w:asciiTheme="minorEastAsia" w:eastAsiaTheme="minorEastAsia" w:hAnsiTheme="minorEastAsia" w:cs="Times New Roman" w:hint="eastAsia"/>
          <w:sz w:val="21"/>
          <w:szCs w:val="21"/>
        </w:rPr>
        <w:t>6</w:t>
      </w:r>
      <w:r w:rsidRPr="00047F28">
        <w:rPr>
          <w:rFonts w:asciiTheme="minorEastAsia" w:eastAsiaTheme="minorEastAsia" w:hAnsiTheme="minorEastAsia" w:cs="Times New Roman" w:hint="eastAsia"/>
          <w:sz w:val="21"/>
          <w:szCs w:val="21"/>
        </w:rPr>
        <w:t>月</w:t>
      </w:r>
      <w:r w:rsidR="00523AD8" w:rsidRPr="00047F28">
        <w:rPr>
          <w:rFonts w:asciiTheme="minorEastAsia" w:eastAsiaTheme="minorEastAsia" w:hAnsiTheme="minorEastAsia" w:cs="Times New Roman" w:hint="eastAsia"/>
          <w:sz w:val="21"/>
          <w:szCs w:val="21"/>
        </w:rPr>
        <w:t>12</w:t>
      </w:r>
      <w:r w:rsidRPr="00047F28">
        <w:rPr>
          <w:rFonts w:asciiTheme="minorEastAsia" w:eastAsiaTheme="minorEastAsia" w:hAnsiTheme="minorEastAsia" w:cs="Times New Roman" w:hint="eastAsia"/>
          <w:sz w:val="21"/>
          <w:szCs w:val="21"/>
        </w:rPr>
        <w:t>日）</w:t>
      </w:r>
    </w:p>
    <w:p w:rsidR="003D13B2" w:rsidRDefault="003D13B2" w:rsidP="00E17E75">
      <w:pPr>
        <w:spacing w:beforeLines="50" w:afterLines="0" w:line="324" w:lineRule="auto"/>
        <w:jc w:val="both"/>
        <w:rPr>
          <w:rFonts w:asciiTheme="minorEastAsia" w:eastAsiaTheme="minorEastAsia" w:hAnsiTheme="minorEastAsia" w:cs="Times New Roman"/>
          <w:sz w:val="21"/>
          <w:szCs w:val="21"/>
        </w:rPr>
      </w:pPr>
      <w:r w:rsidRPr="00047F28">
        <w:rPr>
          <w:rFonts w:asciiTheme="minorEastAsia" w:eastAsiaTheme="minorEastAsia" w:hAnsiTheme="minorEastAsia" w:hint="eastAsia"/>
          <w:b/>
          <w:sz w:val="24"/>
          <w:szCs w:val="24"/>
        </w:rPr>
        <w:t>▲</w:t>
      </w:r>
      <w:r w:rsidR="00047F28" w:rsidRPr="00047F28">
        <w:rPr>
          <w:rFonts w:asciiTheme="minorEastAsia" w:eastAsiaTheme="minorEastAsia" w:hAnsiTheme="minorEastAsia"/>
          <w:b/>
          <w:sz w:val="24"/>
          <w:szCs w:val="24"/>
        </w:rPr>
        <w:t>科技部教育部签署科教协同工作协议</w:t>
      </w:r>
      <w:r w:rsidR="00036F8B">
        <w:rPr>
          <w:rFonts w:asciiTheme="minorEastAsia" w:eastAsiaTheme="minorEastAsia" w:hAnsiTheme="minorEastAsia" w:hint="eastAsia"/>
          <w:b/>
          <w:sz w:val="24"/>
          <w:szCs w:val="24"/>
        </w:rPr>
        <w:t xml:space="preserve"> </w:t>
      </w:r>
      <w:r w:rsidR="00047F28" w:rsidRPr="00047F28">
        <w:rPr>
          <w:rFonts w:asciiTheme="minorEastAsia" w:eastAsiaTheme="minorEastAsia" w:hAnsiTheme="minorEastAsia"/>
          <w:b/>
          <w:sz w:val="24"/>
          <w:szCs w:val="24"/>
        </w:rPr>
        <w:t>建设新时代科教协同“绿色通道”</w:t>
      </w:r>
      <w:r w:rsidRPr="00047F28">
        <w:rPr>
          <w:rFonts w:asciiTheme="minorEastAsia" w:eastAsiaTheme="minorEastAsia" w:hAnsiTheme="minorEastAsia" w:cs="Times New Roman" w:hint="eastAsia"/>
          <w:sz w:val="21"/>
          <w:szCs w:val="21"/>
        </w:rPr>
        <w:t xml:space="preserve"> </w:t>
      </w:r>
      <w:r w:rsidR="00924B89" w:rsidRPr="00924B89">
        <w:rPr>
          <w:rFonts w:asciiTheme="minorEastAsia" w:eastAsiaTheme="minorEastAsia" w:hAnsiTheme="minorEastAsia" w:cs="Times New Roman" w:hint="eastAsia"/>
          <w:sz w:val="21"/>
          <w:szCs w:val="21"/>
        </w:rPr>
        <w:t>近日，科技部、教育部在京召开科教协同工作会议暨高校校长座谈会，建立科教协同工作机制，研究推动高校</w:t>
      </w:r>
      <w:r w:rsidR="00924B89" w:rsidRPr="00924B89">
        <w:rPr>
          <w:rFonts w:asciiTheme="minorEastAsia" w:eastAsiaTheme="minorEastAsia" w:hAnsiTheme="minorEastAsia" w:cs="Times New Roman" w:hint="eastAsia"/>
          <w:sz w:val="21"/>
          <w:szCs w:val="21"/>
        </w:rPr>
        <w:lastRenderedPageBreak/>
        <w:t>科技创新工作，加强新时代科教协同融合。教育部党组书记、部长陈宝生，科技部党组书记、部长王志刚代表双方签署《科技部 教育部科教协同工作协议（2018—2022年）》并讲话。根据工作协议，双方将建立协同工作机制，设立科教协同领导小组，加强政策措施协调，建立高校校长座谈机制，建立完善重大政策落实机制，齐心协力落实党中央、国务院重大决策部署，共同推动督促中央科技创新重大改革政策措施在高校落地落实。支持高等教育内涵式发展，支持引导高校瞄准世界科技前沿，增强自主创新能力，充分发挥高校在基础研究、创新人才培养和经济发展新动能培育等方面的重要作用，加快推动高校科技创新和世界一流大学、一流学科建设。提供高质量的科技供给，扩大科技创新资源开放共享，重视发挥高校智库的咨询作用。会上，北京大学、清华大学等9所高校校长围绕高校在基础研究和应用研究中作用的发挥、加速科技成果转化、健全科技人才分类评价制度等提出了意见建议。</w:t>
      </w:r>
      <w:r w:rsidRPr="00047F28">
        <w:rPr>
          <w:rFonts w:asciiTheme="minorEastAsia" w:eastAsiaTheme="minorEastAsia" w:hAnsiTheme="minorEastAsia" w:cs="Times New Roman"/>
          <w:sz w:val="21"/>
          <w:szCs w:val="21"/>
        </w:rPr>
        <w:t>来源：《</w:t>
      </w:r>
      <w:r w:rsidRPr="00047F28">
        <w:rPr>
          <w:rFonts w:asciiTheme="minorEastAsia" w:eastAsiaTheme="minorEastAsia" w:hAnsiTheme="minorEastAsia" w:cs="Times New Roman" w:hint="eastAsia"/>
          <w:sz w:val="21"/>
          <w:szCs w:val="21"/>
        </w:rPr>
        <w:t>中国教育报</w:t>
      </w:r>
      <w:r w:rsidRPr="00047F28">
        <w:rPr>
          <w:rFonts w:asciiTheme="minorEastAsia" w:eastAsiaTheme="minorEastAsia" w:hAnsiTheme="minorEastAsia" w:cs="Times New Roman"/>
          <w:sz w:val="21"/>
          <w:szCs w:val="21"/>
        </w:rPr>
        <w:t>》（2018年</w:t>
      </w:r>
      <w:r w:rsidR="00924B89">
        <w:rPr>
          <w:rFonts w:asciiTheme="minorEastAsia" w:eastAsiaTheme="minorEastAsia" w:hAnsiTheme="minorEastAsia" w:cs="Times New Roman" w:hint="eastAsia"/>
          <w:sz w:val="21"/>
          <w:szCs w:val="21"/>
        </w:rPr>
        <w:t>6</w:t>
      </w:r>
      <w:r w:rsidRPr="00047F28">
        <w:rPr>
          <w:rFonts w:asciiTheme="minorEastAsia" w:eastAsiaTheme="minorEastAsia" w:hAnsiTheme="minorEastAsia" w:cs="Times New Roman"/>
          <w:sz w:val="21"/>
          <w:szCs w:val="21"/>
        </w:rPr>
        <w:t>月</w:t>
      </w:r>
      <w:r w:rsidR="00924B89">
        <w:rPr>
          <w:rFonts w:asciiTheme="minorEastAsia" w:eastAsiaTheme="minorEastAsia" w:hAnsiTheme="minorEastAsia" w:cs="Times New Roman" w:hint="eastAsia"/>
          <w:sz w:val="21"/>
          <w:szCs w:val="21"/>
        </w:rPr>
        <w:t>13</w:t>
      </w:r>
      <w:r w:rsidRPr="00047F28">
        <w:rPr>
          <w:rFonts w:asciiTheme="minorEastAsia" w:eastAsiaTheme="minorEastAsia" w:hAnsiTheme="minorEastAsia" w:cs="Times New Roman"/>
          <w:sz w:val="21"/>
          <w:szCs w:val="21"/>
        </w:rPr>
        <w:t>日）</w:t>
      </w:r>
    </w:p>
    <w:p w:rsidR="00036F8B" w:rsidRDefault="00036F8B" w:rsidP="00E17E75">
      <w:pPr>
        <w:pStyle w:val="a6"/>
        <w:spacing w:beforeLines="50" w:beforeAutospacing="0" w:afterLines="0" w:afterAutospacing="0" w:line="324" w:lineRule="auto"/>
        <w:jc w:val="both"/>
        <w:rPr>
          <w:rFonts w:ascii="Times New Roman" w:eastAsiaTheme="minorEastAsia" w:hAnsi="Times New Roman" w:cs="Times New Roman"/>
          <w:sz w:val="21"/>
          <w:szCs w:val="21"/>
        </w:rPr>
      </w:pPr>
      <w:r w:rsidRPr="00904604">
        <w:rPr>
          <w:rFonts w:asciiTheme="minorEastAsia" w:eastAsiaTheme="minorEastAsia" w:hAnsiTheme="minorEastAsia" w:hint="eastAsia"/>
          <w:b/>
        </w:rPr>
        <w:t>▲</w:t>
      </w:r>
      <w:r w:rsidRPr="00904604">
        <w:rPr>
          <w:rFonts w:asciiTheme="minorEastAsia" w:eastAsiaTheme="minorEastAsia" w:hAnsiTheme="minorEastAsia"/>
          <w:b/>
        </w:rPr>
        <w:t>2018</w:t>
      </w:r>
      <w:r>
        <w:rPr>
          <w:rFonts w:asciiTheme="minorEastAsia" w:eastAsiaTheme="minorEastAsia" w:hAnsiTheme="minorEastAsia"/>
          <w:b/>
        </w:rPr>
        <w:t>产学研用国际合作会议</w:t>
      </w:r>
      <w:r w:rsidRPr="00904604">
        <w:rPr>
          <w:rFonts w:asciiTheme="minorEastAsia" w:eastAsiaTheme="minorEastAsia" w:hAnsiTheme="minorEastAsia"/>
          <w:b/>
        </w:rPr>
        <w:t>召开</w:t>
      </w:r>
      <w:r w:rsidRPr="00904604">
        <w:rPr>
          <w:rFonts w:asciiTheme="minorEastAsia" w:eastAsiaTheme="minorEastAsia" w:hAnsiTheme="minorEastAsia" w:hint="eastAsia"/>
          <w:b/>
          <w:bCs/>
        </w:rPr>
        <w:t xml:space="preserve"> </w:t>
      </w:r>
      <w:r>
        <w:rPr>
          <w:rFonts w:ascii="Times New Roman" w:eastAsiaTheme="minorEastAsia" w:hAnsi="Times New Roman" w:cs="Times New Roman" w:hint="eastAsia"/>
          <w:sz w:val="21"/>
          <w:szCs w:val="21"/>
        </w:rPr>
        <w:t>近日</w:t>
      </w:r>
      <w:r w:rsidRPr="00904604">
        <w:rPr>
          <w:rFonts w:ascii="Times New Roman" w:eastAsiaTheme="minorEastAsia" w:hAnsi="Times New Roman" w:cs="Times New Roman" w:hint="eastAsia"/>
          <w:sz w:val="21"/>
          <w:szCs w:val="21"/>
        </w:rPr>
        <w:t>，由教育部学校规划建设发展中心主办，江西省教育厅、南昌大学、南昌航空大学承办的</w:t>
      </w:r>
      <w:r w:rsidRPr="00904604">
        <w:rPr>
          <w:rFonts w:ascii="Times New Roman" w:eastAsiaTheme="minorEastAsia" w:hAnsi="Times New Roman" w:cs="Times New Roman" w:hint="eastAsia"/>
          <w:sz w:val="21"/>
          <w:szCs w:val="21"/>
        </w:rPr>
        <w:t>2018</w:t>
      </w:r>
      <w:r w:rsidRPr="00904604">
        <w:rPr>
          <w:rFonts w:ascii="Times New Roman" w:eastAsiaTheme="minorEastAsia" w:hAnsi="Times New Roman" w:cs="Times New Roman" w:hint="eastAsia"/>
          <w:sz w:val="21"/>
          <w:szCs w:val="21"/>
        </w:rPr>
        <w:t>产学研用国际合作会议（南昌）在南昌举行。来自中国、俄罗斯、白俄罗斯、乌克兰、乌兹别克斯坦等国高校、企业、科研院所的专家学者汇聚一堂，研讨科技创新的产学研用情况。中共江西省委书记、省长刘奇，教育部副部长孙尧等出席开幕仪式并致辞，江西省人民政府副省长孙菊生主持会议。会上，南昌大学与俄罗斯科学研究技术中心有限责任公司签署科研合作协议，与俄罗斯基伦斯基物理研究所、江西科泰新材料有限公司签署三方合作协议。南昌航空大学分别与白俄罗斯国立技术大学、白俄罗斯国立信息及无线电技术大学签署了合作协议。本次会议分为南昌段与哈尔滨段，南昌段的会议得到了教育部和江西省人民政府的大力指导，会议旨在全面落实国家“一带一路”教育行动计划，深化与“一带一路”沿线国家在新材料、航空航天领域的前沿技术合作及成果交流，深入落实教育部领导访问俄罗斯、白俄罗斯和乌克兰成果，共同搭建新材料学科与航空航天学科学术交流及科技合作平台，推动中俄乌白等国家高校、企业及科研院所之间的交流与合作，形成中外产学研用良性互动、合作共赢的国际合作交流新格局。</w:t>
      </w:r>
      <w:r>
        <w:rPr>
          <w:rFonts w:ascii="Times New Roman" w:eastAsiaTheme="minorEastAsia" w:hAnsi="Times New Roman" w:cs="Times New Roman"/>
          <w:sz w:val="21"/>
          <w:szCs w:val="21"/>
        </w:rPr>
        <w:t>来源：《</w:t>
      </w:r>
      <w:r>
        <w:rPr>
          <w:rFonts w:ascii="Times New Roman" w:eastAsiaTheme="minorEastAsia" w:hAnsi="Times New Roman" w:cs="Times New Roman" w:hint="eastAsia"/>
          <w:sz w:val="21"/>
          <w:szCs w:val="21"/>
        </w:rPr>
        <w:t>中国教育报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13</w:t>
      </w:r>
      <w:r>
        <w:rPr>
          <w:rFonts w:ascii="Times New Roman" w:eastAsiaTheme="minorEastAsia" w:hAnsi="Times New Roman" w:cs="Times New Roman"/>
          <w:sz w:val="21"/>
          <w:szCs w:val="21"/>
        </w:rPr>
        <w:t>日）</w:t>
      </w:r>
    </w:p>
    <w:p w:rsidR="003D13B2" w:rsidRPr="00CF55DA" w:rsidRDefault="003D13B2" w:rsidP="00E17E75">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00924B89" w:rsidRPr="00924B89">
        <w:rPr>
          <w:rFonts w:asciiTheme="minorEastAsia" w:eastAsiaTheme="minorEastAsia" w:hAnsiTheme="minorEastAsia" w:hint="eastAsia"/>
          <w:b/>
          <w:bCs/>
          <w:sz w:val="24"/>
          <w:szCs w:val="24"/>
        </w:rPr>
        <w:t>亚洲最具创新力大学榜单：中国27所高校入榜</w:t>
      </w:r>
      <w:r w:rsidR="00924B89">
        <w:rPr>
          <w:rFonts w:asciiTheme="minorEastAsia" w:eastAsiaTheme="minorEastAsia" w:hAnsiTheme="minorEastAsia" w:hint="eastAsia"/>
          <w:b/>
          <w:sz w:val="24"/>
          <w:szCs w:val="24"/>
        </w:rPr>
        <w:t xml:space="preserve"> </w:t>
      </w:r>
      <w:r w:rsidR="00924B89" w:rsidRPr="00924B89">
        <w:rPr>
          <w:rFonts w:asciiTheme="minorEastAsia" w:eastAsiaTheme="minorEastAsia" w:hAnsiTheme="minorEastAsia" w:hint="eastAsia"/>
          <w:sz w:val="21"/>
          <w:szCs w:val="21"/>
        </w:rPr>
        <w:t>近日</w:t>
      </w:r>
      <w:r w:rsidR="0004694B">
        <w:rPr>
          <w:rFonts w:asciiTheme="minorEastAsia" w:eastAsiaTheme="minorEastAsia" w:hAnsiTheme="minorEastAsia" w:hint="eastAsia"/>
          <w:sz w:val="21"/>
          <w:szCs w:val="21"/>
        </w:rPr>
        <w:t>,</w:t>
      </w:r>
      <w:r w:rsidR="00924B89" w:rsidRPr="00924B89">
        <w:rPr>
          <w:rFonts w:asciiTheme="minorEastAsia" w:eastAsiaTheme="minorEastAsia" w:hAnsiTheme="minorEastAsia" w:hint="eastAsia"/>
          <w:sz w:val="21"/>
          <w:szCs w:val="21"/>
        </w:rPr>
        <w:t>“路透社TOP75亚洲最具创新力大学”年度榜单发布，中国（入榜27所）与韩国（入榜20所）高校占据主导地位。韩国KAIST大学、日本东京大学和韩国浦项科技大学（简称POSTECH）在2018年度“亚洲最具创新力大学”榜单中名列前茅。该榜单旨在列出亚洲在推动科学进步、发明新技术以及新兴市场和行业发展方面卓有成效的教育机构。“路透社TOP 75亚洲最具创新力大学”榜单2016年首次发布即与全球专业信息提供与分析服务领域的领导者科睿唯安合作，今年的榜单再次基于其专有数据和多指标分析，其中包括来自德温特创新平台（Derwent Innovation）的专利申请数量和来自Web of Science的学术论文引文数据。此次发布的榜单，中国共有27所大学上榜（包括香港的3所大学）。今年新入榜的三所机构均来自中国：中国矿业大学（第56位）、山东大学（第67位）和厦门大学（第74位）。与去年相比，2018年持续入榜的中国高校中有15所高校的排名均有所提升，进步明显的高校包括复旦大学提升9位，位列17；华东理工大学提升10位，居于第33位；西安交通大学提升9位，位居第53位。清华大学（第5位）是中国排名最高的大学，与去年相比上升1位。与欧洲和北美洲不同，亚太地区高校的表现较为稳定：相比之下，路透社2018年度欧洲最具创新力大学榜单中有15所大学新入榜。</w:t>
      </w:r>
      <w:r>
        <w:rPr>
          <w:rFonts w:asciiTheme="minorEastAsia" w:eastAsiaTheme="minorEastAsia" w:hAnsiTheme="minorEastAsia" w:hint="eastAsia"/>
          <w:sz w:val="21"/>
          <w:szCs w:val="21"/>
        </w:rPr>
        <w:t>来源：《</w:t>
      </w:r>
      <w:r w:rsidR="00924B89">
        <w:rPr>
          <w:rFonts w:asciiTheme="minorEastAsia" w:eastAsiaTheme="minorEastAsia" w:hAnsiTheme="minorEastAsia" w:hint="eastAsia"/>
          <w:sz w:val="21"/>
          <w:szCs w:val="21"/>
        </w:rPr>
        <w:t>科学网</w:t>
      </w:r>
      <w:r>
        <w:rPr>
          <w:rFonts w:asciiTheme="minorEastAsia" w:eastAsiaTheme="minorEastAsia" w:hAnsiTheme="minorEastAsia" w:hint="eastAsia"/>
          <w:sz w:val="21"/>
          <w:szCs w:val="21"/>
        </w:rPr>
        <w:t>》</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924B89">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月</w:t>
      </w:r>
      <w:r w:rsidR="00924B89">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日）</w:t>
      </w:r>
    </w:p>
    <w:p w:rsidR="003D13B2" w:rsidRPr="00213B44" w:rsidRDefault="003D13B2" w:rsidP="00E17E75">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lastRenderedPageBreak/>
        <w:t>▲</w:t>
      </w:r>
      <w:r w:rsidR="001D65D0" w:rsidRPr="001D65D0">
        <w:rPr>
          <w:rFonts w:asciiTheme="minorEastAsia" w:eastAsiaTheme="minorEastAsia" w:hAnsiTheme="minorEastAsia" w:hint="eastAsia"/>
          <w:b/>
          <w:sz w:val="24"/>
          <w:szCs w:val="24"/>
        </w:rPr>
        <w:t>QS世界大学排名发布，清华、北大排位齐升</w:t>
      </w:r>
      <w:r w:rsidR="001D65D0">
        <w:rPr>
          <w:rFonts w:asciiTheme="minorEastAsia" w:eastAsiaTheme="minorEastAsia" w:hAnsiTheme="minorEastAsia" w:hint="eastAsia"/>
          <w:b/>
          <w:sz w:val="24"/>
          <w:szCs w:val="24"/>
        </w:rPr>
        <w:t xml:space="preserve"> </w:t>
      </w:r>
      <w:r w:rsidRPr="00213B44">
        <w:rPr>
          <w:rFonts w:asciiTheme="minorEastAsia" w:eastAsiaTheme="minorEastAsia" w:hAnsiTheme="minorEastAsia"/>
          <w:sz w:val="21"/>
          <w:szCs w:val="21"/>
        </w:rPr>
        <w:t>近日</w:t>
      </w:r>
      <w:r w:rsidR="001D65D0">
        <w:rPr>
          <w:rFonts w:asciiTheme="minorEastAsia" w:eastAsiaTheme="minorEastAsia" w:hAnsiTheme="minorEastAsia" w:hint="eastAsia"/>
          <w:sz w:val="21"/>
          <w:szCs w:val="21"/>
        </w:rPr>
        <w:t>,</w:t>
      </w:r>
      <w:r w:rsidR="001D65D0" w:rsidRPr="001D65D0">
        <w:rPr>
          <w:rFonts w:asciiTheme="minorEastAsia" w:eastAsiaTheme="minorEastAsia" w:hAnsiTheme="minorEastAsia" w:hint="eastAsia"/>
          <w:sz w:val="21"/>
          <w:szCs w:val="21"/>
        </w:rPr>
        <w:t>英国QS全球教育集团6日晚在伦敦发布了第十五期《</w:t>
      </w:r>
      <w:hyperlink r:id="rId8" w:tgtFrame="_blank" w:history="1">
        <w:r w:rsidR="001D65D0" w:rsidRPr="001D65D0">
          <w:rPr>
            <w:rFonts w:asciiTheme="minorEastAsia" w:eastAsiaTheme="minorEastAsia" w:hAnsiTheme="minorEastAsia" w:hint="eastAsia"/>
          </w:rPr>
          <w:t>QS世界大学排名</w:t>
        </w:r>
      </w:hyperlink>
      <w:r w:rsidR="001D65D0" w:rsidRPr="001D65D0">
        <w:rPr>
          <w:rFonts w:asciiTheme="minorEastAsia" w:eastAsiaTheme="minorEastAsia" w:hAnsiTheme="minorEastAsia" w:hint="eastAsia"/>
          <w:sz w:val="21"/>
          <w:szCs w:val="21"/>
        </w:rPr>
        <w:t>》，中国大学中排名最高的清华大学从世界25位升至第17位，北京大学则从38位升至30名。本次《QS世界大学排名》显示，中国大陆清华大学、北京大学、复旦大学、上海交通大学、浙江大学、中国科技大学6所大学名列世界百强。作为世界权威大学排名之一的《QS世界大学排名》，本次排出了世界前1000位大学，涵盖了85个国家和地区。在全球范围内，美国麻省理工大学连续第七年排位世界第一，亚洲排名最顶尖大学则由新加坡国立大学摘取，名列第11名。中国香港7所、中国澳门1所、中国台湾17所大学榜上有名，共有40所中国大学名列全球500强。英国QS全球教育集团中国总监张巘博士介绍，本次《QS世界大学排名》共评估了1,011所全球大学，评估结果基于过去5年全球151个国家顶尖的数万学者和机构的专业评议，以及对全球最大论文数据库中过去6年数以千万计学术期刊论文等的数据分析。《QS世界大学排名》诞生于2004年，获得联合国和为数众多的国家与地区的认可，其评估结果和数据，成为多个国家评价和规划本国教育事业的依据，为世界上广受欢迎评价各国大学综合表现的比较数据来源。张巘博士表示，中国大学整体在科研论文的事业发展上成绩显著，国际影响与日俱增，和欧美名校的差距不断缩小。</w:t>
      </w:r>
      <w:r>
        <w:rPr>
          <w:rFonts w:asciiTheme="minorEastAsia" w:eastAsiaTheme="minorEastAsia" w:hAnsiTheme="minorEastAsia" w:hint="eastAsia"/>
          <w:sz w:val="21"/>
          <w:szCs w:val="21"/>
        </w:rPr>
        <w:t>来源：《</w:t>
      </w:r>
      <w:r w:rsidR="001D65D0">
        <w:rPr>
          <w:rFonts w:asciiTheme="minorEastAsia" w:eastAsiaTheme="minorEastAsia" w:hAnsiTheme="minorEastAsia" w:hint="eastAsia"/>
          <w:sz w:val="21"/>
          <w:szCs w:val="21"/>
        </w:rPr>
        <w:t>科学网</w:t>
      </w:r>
      <w:r>
        <w:rPr>
          <w:rFonts w:asciiTheme="minorEastAsia" w:eastAsiaTheme="minorEastAsia" w:hAnsiTheme="minorEastAsia" w:hint="eastAsia"/>
          <w:sz w:val="21"/>
          <w:szCs w:val="21"/>
        </w:rPr>
        <w:t>》（2018年</w:t>
      </w:r>
      <w:r w:rsidR="001D65D0">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月</w:t>
      </w:r>
      <w:r w:rsidR="001D65D0">
        <w:rPr>
          <w:rFonts w:asciiTheme="minorEastAsia" w:eastAsiaTheme="minorEastAsia" w:hAnsiTheme="minorEastAsia" w:hint="eastAsia"/>
          <w:sz w:val="21"/>
          <w:szCs w:val="21"/>
        </w:rPr>
        <w:t>7</w:t>
      </w:r>
      <w:r>
        <w:rPr>
          <w:rFonts w:asciiTheme="minorEastAsia" w:eastAsiaTheme="minorEastAsia" w:hAnsiTheme="minorEastAsia" w:hint="eastAsia"/>
          <w:sz w:val="21"/>
          <w:szCs w:val="21"/>
        </w:rPr>
        <w:t>日）</w:t>
      </w:r>
    </w:p>
    <w:p w:rsidR="007E2921" w:rsidRPr="001D65D0" w:rsidRDefault="00AF5955" w:rsidP="00E17E75">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001D65D0" w:rsidRPr="001D65D0">
        <w:rPr>
          <w:rFonts w:asciiTheme="minorEastAsia" w:eastAsiaTheme="minorEastAsia" w:hAnsiTheme="minorEastAsia" w:hint="eastAsia"/>
          <w:b/>
          <w:bCs/>
          <w:sz w:val="24"/>
          <w:szCs w:val="24"/>
        </w:rPr>
        <w:t>中国高校国际学术影响力评价报告发布</w:t>
      </w:r>
      <w:r w:rsidR="0016748B">
        <w:rPr>
          <w:rFonts w:asciiTheme="minorEastAsia" w:eastAsiaTheme="minorEastAsia" w:hAnsiTheme="minorEastAsia" w:hint="eastAsia"/>
          <w:b/>
          <w:sz w:val="24"/>
          <w:szCs w:val="24"/>
        </w:rPr>
        <w:t xml:space="preserve"> </w:t>
      </w:r>
      <w:r w:rsidR="001D65D0" w:rsidRPr="001D65D0">
        <w:rPr>
          <w:rFonts w:asciiTheme="minorEastAsia" w:eastAsiaTheme="minorEastAsia" w:hAnsiTheme="minorEastAsia" w:hint="eastAsia"/>
          <w:sz w:val="21"/>
          <w:szCs w:val="21"/>
        </w:rPr>
        <w:t>日前，中国教育发展战略学会人才发展专业委员会、中国教育网、中国教育在线、学术桥在京联合发布《2017中国高校国际学术影响力评价报告》。报告显示，中国高校和学科表现呈现快速上升态势，入选基本科学指标数据库（ESI）前1%高被引学科的高校越来越多，入选学科的排名越来越靠前。报告数据主要来源于ESI数据库，时间段为2007年1月至2017年2月，中国内地共有209所高校至少有一个学科入选ESI前1%高被引学科，这些高校被作为国际学术影响力分析对象。报告从国际成果规模、高被引论文、创新人才数量、优势学科等不同维度展现了中国高校的“坐标”，由中国大学国际学术影响力评价、中国学科国际学术影响力评价和中国高校ESI1%各学科排名变化情况三部分构成，每部分都有丰富的榜单作为支撑。报告课题组负责人李江教授介绍说，从选用的各项指标上看，中国高校表现出了快速上升的态势。在ESI的22个学科分类中，中国高校入选数量最多的学科依次是化学、工程学，有超过100所高校入选这两个学科。超过50所高校入选的学科有材料科学、临床医学和生物学与生物化学。报告显示，10年来高被引论文数清华大学、北京大学分列一、二位，浙江大学排名第三。</w:t>
      </w:r>
      <w:r>
        <w:rPr>
          <w:rFonts w:ascii="Times New Roman" w:eastAsiaTheme="minorEastAsia" w:hAnsi="Times New Roman" w:cs="Times New Roman"/>
          <w:sz w:val="21"/>
          <w:szCs w:val="21"/>
        </w:rPr>
        <w:t>来源：《</w:t>
      </w:r>
      <w:r w:rsidR="001D65D0">
        <w:rPr>
          <w:rFonts w:ascii="Times New Roman" w:eastAsiaTheme="minorEastAsia" w:hAnsi="Times New Roman" w:cs="Times New Roman" w:hint="eastAsia"/>
          <w:sz w:val="21"/>
          <w:szCs w:val="21"/>
        </w:rPr>
        <w:t>中国教育报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1D65D0">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月</w:t>
      </w:r>
      <w:r w:rsidR="001D65D0">
        <w:rPr>
          <w:rFonts w:ascii="Times New Roman" w:eastAsiaTheme="minorEastAsia" w:hAnsi="Times New Roman" w:cs="Times New Roman" w:hint="eastAsia"/>
          <w:sz w:val="21"/>
          <w:szCs w:val="21"/>
        </w:rPr>
        <w:t>26</w:t>
      </w:r>
      <w:r>
        <w:rPr>
          <w:rFonts w:ascii="Times New Roman" w:eastAsiaTheme="minorEastAsia" w:hAnsi="Times New Roman" w:cs="Times New Roman"/>
          <w:sz w:val="21"/>
          <w:szCs w:val="21"/>
        </w:rPr>
        <w:t>日）</w:t>
      </w:r>
    </w:p>
    <w:p w:rsidR="00036F8B" w:rsidRDefault="00AF5955" w:rsidP="00E17E75">
      <w:pPr>
        <w:pStyle w:val="a6"/>
        <w:spacing w:beforeLines="50" w:beforeAutospacing="0" w:afterLines="0" w:afterAutospacing="0" w:line="324" w:lineRule="auto"/>
        <w:rPr>
          <w:rFonts w:ascii="Times New Roman" w:eastAsiaTheme="minorEastAsia" w:hAnsi="Times New Roman" w:cs="Times New Roman"/>
          <w:sz w:val="21"/>
          <w:szCs w:val="21"/>
        </w:rPr>
      </w:pPr>
      <w:r>
        <w:rPr>
          <w:rFonts w:asciiTheme="minorEastAsia" w:eastAsiaTheme="minorEastAsia" w:hAnsiTheme="minorEastAsia" w:hint="eastAsia"/>
          <w:b/>
        </w:rPr>
        <w:t>▲</w:t>
      </w:r>
      <w:r w:rsidR="00904604" w:rsidRPr="00904604">
        <w:rPr>
          <w:rFonts w:asciiTheme="minorEastAsia" w:eastAsiaTheme="minorEastAsia" w:hAnsiTheme="minorEastAsia" w:hint="eastAsia"/>
          <w:b/>
          <w:bCs/>
        </w:rPr>
        <w:t>经合组织发布教师政策报告</w:t>
      </w:r>
      <w:r w:rsidR="00B47ED1">
        <w:rPr>
          <w:rFonts w:asciiTheme="minorEastAsia" w:eastAsiaTheme="minorEastAsia" w:hAnsiTheme="minorEastAsia" w:hint="eastAsia"/>
          <w:sz w:val="21"/>
          <w:szCs w:val="21"/>
        </w:rPr>
        <w:t xml:space="preserve"> </w:t>
      </w:r>
      <w:r w:rsidR="00DD5E7A">
        <w:rPr>
          <w:rFonts w:asciiTheme="minorEastAsia" w:eastAsiaTheme="minorEastAsia" w:hAnsiTheme="minorEastAsia" w:hint="eastAsia"/>
          <w:sz w:val="21"/>
          <w:szCs w:val="21"/>
        </w:rPr>
        <w:t>近日，</w:t>
      </w:r>
      <w:r w:rsidR="00A126B6" w:rsidRPr="00A126B6">
        <w:rPr>
          <w:rFonts w:asciiTheme="minorEastAsia" w:eastAsiaTheme="minorEastAsia" w:hAnsiTheme="minorEastAsia" w:hint="eastAsia"/>
          <w:sz w:val="21"/>
          <w:szCs w:val="21"/>
        </w:rPr>
        <w:t>经济合作与发展组织（OECD</w:t>
      </w:r>
      <w:r w:rsidR="000C4BF6">
        <w:rPr>
          <w:rFonts w:asciiTheme="minorEastAsia" w:eastAsiaTheme="minorEastAsia" w:hAnsiTheme="minorEastAsia" w:hint="eastAsia"/>
          <w:sz w:val="21"/>
          <w:szCs w:val="21"/>
        </w:rPr>
        <w:t>，以下简称经合组织）</w:t>
      </w:r>
      <w:r w:rsidR="00A126B6" w:rsidRPr="00A126B6">
        <w:rPr>
          <w:rFonts w:asciiTheme="minorEastAsia" w:eastAsiaTheme="minorEastAsia" w:hAnsiTheme="minorEastAsia" w:hint="eastAsia"/>
          <w:sz w:val="21"/>
          <w:szCs w:val="21"/>
        </w:rPr>
        <w:t>发布报告《有效的教师政策：来自国际学生评估项目（PISA）的见解》，反映全球教师政策的相关问题。该报告指出，在参加2006年和2015年国际学生评估项目测试的国家和地区中，拥有更多教师聘请自主权的学校，学生的成绩会更高；有更多自由调整教师职位、工作条件和薪酬的学校，也更能吸引优秀的教师。学校领导在调查中也指出，缺少合格的教师是提升学生学习成绩的主要障碍。调查显示，大多数国家和地区会对班级较小、学生较差、教师比例较低的弱势学校采取补偿措施。然而，在1/3以上的国家和地区，这些弱势学校的教师资历和经验都不如优质学校的教师。此外，与这些弱势学校相比，贫困学校聘用合格教师的比例更低，针对此问题，建议通过对教师进行更全面的职前培训和专业发展指导，使教师具备在贫困学校工作所需的技能。该报告还显示，在经合组织成员方中，平均4.2%的15岁青少年渴望成为教师，这一比例远高于目前教师人数在人口中所占的比例</w:t>
      </w:r>
      <w:r w:rsidR="00A126B6" w:rsidRPr="00A126B6">
        <w:rPr>
          <w:rFonts w:asciiTheme="minorEastAsia" w:eastAsiaTheme="minorEastAsia" w:hAnsiTheme="minorEastAsia" w:hint="eastAsia"/>
          <w:sz w:val="21"/>
          <w:szCs w:val="21"/>
        </w:rPr>
        <w:lastRenderedPageBreak/>
        <w:t>(2.4%)。女孩比男孩更希望从事教师职业，此外，在教师薪水较高的国家，学生对教师职业的期望更高。该报告还分析了高绩效系统中教师政策所具备的3个特点——在开始职业生涯之前，必须进行长期的实践性课堂教学培训；提供入职后的专业发展机会，例如学校举办的工作坊；具有以教师持续发展为重点的教师评价机制。</w:t>
      </w:r>
      <w:r>
        <w:rPr>
          <w:rFonts w:asciiTheme="minorEastAsia" w:eastAsiaTheme="minorEastAsia" w:hAnsiTheme="minorEastAsia" w:hint="eastAsia"/>
          <w:sz w:val="21"/>
          <w:szCs w:val="21"/>
        </w:rPr>
        <w:t>来源：《</w:t>
      </w:r>
      <w:r w:rsidR="00A126B6">
        <w:rPr>
          <w:rFonts w:asciiTheme="minorEastAsia" w:eastAsiaTheme="minorEastAsia" w:hAnsiTheme="minorEastAsia" w:hint="eastAsia"/>
          <w:sz w:val="21"/>
          <w:szCs w:val="21"/>
        </w:rPr>
        <w:t>中国教育报</w:t>
      </w:r>
      <w:r>
        <w:rPr>
          <w:rFonts w:asciiTheme="minorEastAsia" w:eastAsiaTheme="minorEastAsia" w:hAnsiTheme="minorEastAsia" w:hint="eastAsia"/>
          <w:sz w:val="21"/>
          <w:szCs w:val="21"/>
        </w:rPr>
        <w:t>》</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A126B6">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月</w:t>
      </w:r>
      <w:r w:rsidR="00A126B6">
        <w:rPr>
          <w:rFonts w:ascii="Times New Roman" w:eastAsiaTheme="minorEastAsia" w:hAnsi="Times New Roman" w:cs="Times New Roman" w:hint="eastAsia"/>
          <w:sz w:val="21"/>
          <w:szCs w:val="21"/>
        </w:rPr>
        <w:t>29</w:t>
      </w:r>
      <w:r>
        <w:rPr>
          <w:rFonts w:ascii="Times New Roman" w:eastAsiaTheme="minorEastAsia" w:hAnsi="Times New Roman" w:cs="Times New Roman"/>
          <w:sz w:val="21"/>
          <w:szCs w:val="21"/>
        </w:rPr>
        <w:t>日）</w:t>
      </w:r>
    </w:p>
    <w:p w:rsidR="00036F8B" w:rsidRDefault="00036F8B" w:rsidP="00E17E75">
      <w:pPr>
        <w:pStyle w:val="a6"/>
        <w:spacing w:beforeLines="50" w:beforeAutospacing="0" w:afterLines="0" w:afterAutospacing="0" w:line="324" w:lineRule="auto"/>
        <w:rPr>
          <w:rFonts w:ascii="Times New Roman" w:eastAsiaTheme="minorEastAsia" w:hAnsi="Times New Roman" w:cs="Times New Roman"/>
          <w:sz w:val="21"/>
          <w:szCs w:val="21"/>
        </w:rPr>
      </w:pPr>
      <w:r>
        <w:rPr>
          <w:rFonts w:asciiTheme="minorEastAsia" w:eastAsiaTheme="minorEastAsia" w:hAnsiTheme="minorEastAsia" w:hint="eastAsia"/>
          <w:b/>
        </w:rPr>
        <w:t>▲</w:t>
      </w:r>
      <w:r w:rsidRPr="001D65D0">
        <w:rPr>
          <w:rFonts w:asciiTheme="minorEastAsia" w:eastAsiaTheme="minorEastAsia" w:hAnsiTheme="minorEastAsia" w:hint="eastAsia"/>
          <w:b/>
          <w:bCs/>
        </w:rPr>
        <w:t>2017年中国大学生就业报告发布</w:t>
      </w:r>
      <w:r>
        <w:rPr>
          <w:rFonts w:asciiTheme="minorEastAsia" w:eastAsiaTheme="minorEastAsia" w:hAnsiTheme="minorEastAsia" w:hint="eastAsia"/>
          <w:b/>
          <w:bCs/>
        </w:rPr>
        <w:t xml:space="preserve"> </w:t>
      </w:r>
      <w:r w:rsidRPr="001D65D0">
        <w:rPr>
          <w:rFonts w:asciiTheme="minorEastAsia" w:eastAsiaTheme="minorEastAsia" w:hAnsiTheme="minorEastAsia" w:hint="eastAsia"/>
          <w:sz w:val="21"/>
          <w:szCs w:val="21"/>
        </w:rPr>
        <w:t>由麦可思研究院撰写的《2017年中国大学生就业报告》</w:t>
      </w:r>
      <w:r w:rsidR="000049AF">
        <w:rPr>
          <w:rFonts w:asciiTheme="minorEastAsia" w:eastAsiaTheme="minorEastAsia" w:hAnsiTheme="minorEastAsia" w:hint="eastAsia"/>
          <w:sz w:val="21"/>
          <w:szCs w:val="21"/>
        </w:rPr>
        <w:t>于近日</w:t>
      </w:r>
      <w:r w:rsidRPr="001D65D0">
        <w:rPr>
          <w:rFonts w:asciiTheme="minorEastAsia" w:eastAsiaTheme="minorEastAsia" w:hAnsiTheme="minorEastAsia" w:hint="eastAsia"/>
          <w:sz w:val="21"/>
          <w:szCs w:val="21"/>
        </w:rPr>
        <w:t>出炉。报告显示，2016届大学生毕业半年后的就业率为91.6%，与2015届（91.7%）基本持平，略低于2014届（92.1%）。其中，本科院校2016届毕业生半年后的就业率为91.8%，高职高专为91.5%。从近三届的趋势可看出，大学毕业生半年后就业率呈现平稳态势。对于就业率最高的专业，报告指出，就业率最高的专业类是护理学类（95.4%），最低的是历史学类、法学类（均为86.1%）。就业率前三位的专业是软件工程（96.5%）、工程管理（95.9%）、建筑环境与设备工程（95.8%）。此外，报告还指出，根据今年就业蓝皮书中新增的中华英才网研究院数据报告，在本科各学科门类中，毕业生简历平均被企业下载数量最多的是管理学（5次），其后为经济学（4.2次）和工学（3.4次），最少的是历史学（2次）。报告显示，2016届大学毕业生半年后月收入为3988元，比2015届增长了262元。其中，本科院校2016届毕业生半年后月收入为4376元，比2015届增长了334元。高职高专院校2016届毕业生半年后月收入为3599元，比2015届增长了190元。从近三届趋势可看出，大学毕业生半年后月收入呈现上升趋势，也高于城镇居民2016年月均可支配收入（2801元）。报告还指出，本科生和高职高专生毕业三年后的月收入显著高于农民工。2013届本科毕业生三年后月收入为6667元，比2016年农民工人均月收入高3392元，2013届高职高专毕业生三年后月收入为5312元，比2016年农民工人均月收入高2037元。高等教育回报在三年内效果明显，本科和高职高专毕业生职业发展的后发力较强。据悉，2016届大学毕业生半年后跟踪评价的全国样本量约为28.9万，覆盖全国31个省（区、市），1313个专业，以及毕业生能够从事的635个职业、327个行业。</w:t>
      </w:r>
      <w:r>
        <w:rPr>
          <w:rFonts w:asciiTheme="minorEastAsia" w:eastAsiaTheme="minorEastAsia" w:hAnsiTheme="minorEastAsia" w:cstheme="minorBidi" w:hint="eastAsia"/>
          <w:sz w:val="21"/>
          <w:szCs w:val="21"/>
        </w:rPr>
        <w:t>来源：《光明日报》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14</w:t>
      </w:r>
      <w:r>
        <w:rPr>
          <w:rFonts w:ascii="Times New Roman" w:eastAsiaTheme="minorEastAsia" w:hAnsi="Times New Roman" w:cs="Times New Roman"/>
          <w:sz w:val="21"/>
          <w:szCs w:val="21"/>
        </w:rPr>
        <w:t>日）</w:t>
      </w:r>
    </w:p>
    <w:p w:rsidR="007A5747" w:rsidRDefault="00036F8B" w:rsidP="00E17E75">
      <w:pPr>
        <w:spacing w:beforeLines="50" w:after="24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t>▲</w:t>
      </w:r>
      <w:r w:rsidRPr="00B21B54">
        <w:rPr>
          <w:rFonts w:asciiTheme="minorEastAsia" w:eastAsiaTheme="minorEastAsia" w:hAnsiTheme="minorEastAsia" w:hint="eastAsia"/>
          <w:b/>
          <w:bCs/>
          <w:sz w:val="24"/>
          <w:szCs w:val="24"/>
        </w:rPr>
        <w:t>数据科学专业发展现状蓝皮书发布</w:t>
      </w:r>
      <w:r>
        <w:rPr>
          <w:rFonts w:asciiTheme="minorEastAsia" w:eastAsiaTheme="minorEastAsia" w:hAnsiTheme="minorEastAsia" w:hint="eastAsia"/>
          <w:b/>
          <w:bCs/>
          <w:sz w:val="24"/>
          <w:szCs w:val="24"/>
        </w:rPr>
        <w:t xml:space="preserve"> </w:t>
      </w:r>
      <w:r w:rsidRPr="00B21B54">
        <w:rPr>
          <w:rFonts w:asciiTheme="minorEastAsia" w:eastAsiaTheme="minorEastAsia" w:hAnsiTheme="minorEastAsia" w:hint="eastAsia"/>
          <w:sz w:val="21"/>
          <w:szCs w:val="21"/>
        </w:rPr>
        <w:t>近日，第三届大数据教育论坛在对外经济贸易大学举办。北京大数据研究院常务副院长杨竞霜代表论坛组委会发布了《国内外数据科学专业发展现状报告》蓝皮书。蓝皮书指出，现阶段我国高校数据科学专业建设存在两个难题：第一，课程体系缺乏系统性。由于大数据是一门新兴交叉学科，本身缺乏权威的学科外延与内涵的定义，课程设计主要从应用角度出发，并且仍在探索中，尚未形成稳定的课程教学体系。第二，教学科研资源严重匮乏。相较于各高校开办大数据学科、学生学习大数据专业的热潮而言，国内从事大数据研究的教师较少，尤其是非顶尖高校。各高校都存在利用相关专业如数学、计算机的教师来教授大数据课程的现象。本次论坛主题为“财经背景下大数据学科专业建设与人才培养”，专家学者分享了大数据领域最新学术研究前沿和在科研、产业中的最新应用，已获得“数据科学与大数据技术”本科专业的高校代表也分享了大数据专业申报及建设经验，与会专家共同探讨企业人才需求和校企合作人才培养模式。据悉，2016年教育部首次设立“数据科学与大数据技术”本科专业，对外经济贸易大学成为首批的三所院校之一。目前，全国已有283所高校获批本科专业，人才培养和行业需求都呈现了爆发式增长趋势。作为新兴交叉复合型专业，人才培养定位、课程体系设置、教材研发、实验实践体系构建等成为数据科学和大数据专业发展的关键因素</w:t>
      </w:r>
      <w:r w:rsidRPr="00B21B54">
        <w:rPr>
          <w:rFonts w:asciiTheme="minorEastAsia" w:eastAsiaTheme="minorEastAsia" w:hAnsiTheme="minorEastAsia" w:hint="eastAsia"/>
          <w:b/>
          <w:bCs/>
          <w:sz w:val="21"/>
          <w:szCs w:val="21"/>
        </w:rPr>
        <w:t>。</w:t>
      </w:r>
      <w:r>
        <w:rPr>
          <w:rFonts w:ascii="Times New Roman" w:eastAsiaTheme="minorEastAsia" w:hAnsi="Times New Roman" w:cs="Times New Roman"/>
          <w:sz w:val="21"/>
          <w:szCs w:val="21"/>
        </w:rPr>
        <w:t>来源：《</w:t>
      </w:r>
      <w:r>
        <w:rPr>
          <w:rFonts w:ascii="Times New Roman" w:eastAsiaTheme="minorEastAsia" w:hAnsi="Times New Roman" w:cs="Times New Roman" w:hint="eastAsia"/>
          <w:sz w:val="21"/>
          <w:szCs w:val="21"/>
        </w:rPr>
        <w:t>中国科学报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2</w:t>
      </w:r>
      <w:r>
        <w:rPr>
          <w:rFonts w:ascii="Times New Roman" w:eastAsiaTheme="minorEastAsia" w:hAnsi="Times New Roman" w:cs="Times New Roman"/>
          <w:sz w:val="21"/>
          <w:szCs w:val="21"/>
        </w:rPr>
        <w:t>日）</w:t>
      </w:r>
    </w:p>
    <w:p w:rsidR="00890DF6" w:rsidRPr="005C51FA" w:rsidRDefault="00AF5955" w:rsidP="00E17E75">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lastRenderedPageBreak/>
        <w:t>▲</w:t>
      </w:r>
      <w:r w:rsidR="005C51FA" w:rsidRPr="005C51FA">
        <w:rPr>
          <w:rFonts w:asciiTheme="minorEastAsia" w:eastAsiaTheme="minorEastAsia" w:hAnsiTheme="minorEastAsia"/>
          <w:b/>
          <w:sz w:val="24"/>
          <w:szCs w:val="24"/>
        </w:rPr>
        <w:t>河北：加大产教融合发展政策支持</w:t>
      </w:r>
      <w:r w:rsidR="005C51FA">
        <w:rPr>
          <w:rFonts w:asciiTheme="minorEastAsia" w:eastAsiaTheme="minorEastAsia" w:hAnsiTheme="minorEastAsia" w:hint="eastAsia"/>
          <w:b/>
          <w:sz w:val="24"/>
          <w:szCs w:val="24"/>
        </w:rPr>
        <w:t xml:space="preserve"> </w:t>
      </w:r>
      <w:r w:rsidR="005C51FA" w:rsidRPr="005C51FA">
        <w:rPr>
          <w:rFonts w:asciiTheme="minorEastAsia" w:eastAsiaTheme="minorEastAsia" w:hAnsiTheme="minorEastAsia" w:hint="eastAsia"/>
          <w:sz w:val="21"/>
          <w:szCs w:val="21"/>
        </w:rPr>
        <w:t>日前，河北出台新政加大产教融合发展政策支持力度，明确规定职业学校、高校科研人员依法取得的科技成果转化奖励收入不纳入绩效工资，不纳入单位工资总额基数。对于职业学校、高校符合条件的技术转让所得，在一个纳税年度内不超过500万元的免征企业所得税，超过500万元的部分减半征收。河北将进一步优化政府投入，完善体现职业学校、应用型高校和行业特色类专业办学特点和成本的职业教育、高等教育拨款机制。认真落实职业学校、高校基本建设项目城市基础设施配套费、房屋拆迁管理费和河道管理费等相关规费减免政策，依法落实职业学校、高校免征耕地占用税政策。河北明确，企业投资或与政府合作建设职业学校、高校的建设用地，按科教用地管理，符合划拨用地目录的，可通过划拨方式供地，鼓励企业自愿以出让、租赁方式取得土地。河北将开展职业学校股份制、混合所有制改革试点工作，允许企业以资本、技术、管理等要素依法参与办学并享有相应权利。</w:t>
      </w:r>
      <w:r w:rsidR="00EE7ECF">
        <w:rPr>
          <w:rFonts w:asciiTheme="minorEastAsia" w:eastAsiaTheme="minorEastAsia" w:hAnsiTheme="minorEastAsia" w:hint="eastAsia"/>
          <w:sz w:val="21"/>
          <w:szCs w:val="21"/>
        </w:rPr>
        <w:t>来源：《中国教育报</w:t>
      </w:r>
      <w:r>
        <w:rPr>
          <w:rFonts w:asciiTheme="minorEastAsia" w:eastAsiaTheme="minorEastAsia" w:hAnsiTheme="minorEastAsia" w:hint="eastAsia"/>
          <w:sz w:val="21"/>
          <w:szCs w:val="21"/>
        </w:rPr>
        <w:t>》（2018年</w:t>
      </w:r>
      <w:r w:rsidR="005C51FA">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月</w:t>
      </w:r>
      <w:r w:rsidR="005C51FA">
        <w:rPr>
          <w:rFonts w:asciiTheme="minorEastAsia" w:eastAsiaTheme="minorEastAsia" w:hAnsiTheme="minorEastAsia" w:hint="eastAsia"/>
          <w:sz w:val="21"/>
          <w:szCs w:val="21"/>
        </w:rPr>
        <w:t>19</w:t>
      </w:r>
      <w:r>
        <w:rPr>
          <w:rFonts w:asciiTheme="minorEastAsia" w:eastAsiaTheme="minorEastAsia" w:hAnsiTheme="minorEastAsia" w:hint="eastAsia"/>
          <w:sz w:val="21"/>
          <w:szCs w:val="21"/>
        </w:rPr>
        <w:t>日）</w:t>
      </w:r>
    </w:p>
    <w:p w:rsidR="00FA084F" w:rsidRDefault="007E2921" w:rsidP="00E17E75">
      <w:pPr>
        <w:spacing w:beforeLines="50" w:afterLines="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t>▲</w:t>
      </w:r>
      <w:r w:rsidR="005C51FA" w:rsidRPr="005C51FA">
        <w:rPr>
          <w:rFonts w:asciiTheme="minorEastAsia" w:eastAsiaTheme="minorEastAsia" w:hAnsiTheme="minorEastAsia" w:hint="eastAsia"/>
          <w:b/>
          <w:bCs/>
          <w:sz w:val="24"/>
          <w:szCs w:val="24"/>
        </w:rPr>
        <w:t>青海打破职称聘任终身制 不将论文作为限制条件</w:t>
      </w:r>
      <w:r w:rsidR="005C51FA">
        <w:rPr>
          <w:rFonts w:asciiTheme="minorEastAsia" w:eastAsiaTheme="minorEastAsia" w:hAnsiTheme="minorEastAsia" w:hint="eastAsia"/>
          <w:b/>
          <w:bCs/>
          <w:sz w:val="24"/>
          <w:szCs w:val="24"/>
        </w:rPr>
        <w:t xml:space="preserve"> </w:t>
      </w:r>
      <w:r w:rsidR="005C51FA" w:rsidRPr="005C51FA">
        <w:rPr>
          <w:rFonts w:asciiTheme="minorEastAsia" w:eastAsiaTheme="minorEastAsia" w:hAnsiTheme="minorEastAsia" w:hint="eastAsia"/>
          <w:sz w:val="21"/>
          <w:szCs w:val="21"/>
        </w:rPr>
        <w:t>日前，青海省出台《深化职称制度改革的实施意见》。意见指出，青海将建立职称聘任退出机制，打破职称聘任终身制；对职称外语和计算机考试不作硬性要求，不将论文作为评价应用型人才的限制性条件。根据《实施意见》，青海将对职称外语和计算机考试不作硬性要求。对基层和实践性、操作性强的专业技术岗位，可不作论文要求，探索以专利成果、项目报告等形式替代。以用人主体结合用人需求为主，根据评价结果合理使用专业技术人才，实现职称评价结果与人才聘用、考核、晋升等用人制度有效衔接。实行岗位动态管理和竞聘上岗，专业技术人员职称评审建立职称聘任退出机制，实现职称评聘管理的渠道畅通。</w:t>
      </w:r>
      <w:r>
        <w:rPr>
          <w:rFonts w:ascii="Times New Roman" w:eastAsiaTheme="minorEastAsia" w:hAnsi="Times New Roman" w:cs="Times New Roman"/>
          <w:sz w:val="21"/>
          <w:szCs w:val="21"/>
        </w:rPr>
        <w:t>来源：《</w:t>
      </w:r>
      <w:r>
        <w:rPr>
          <w:rFonts w:ascii="Times New Roman" w:eastAsiaTheme="minorEastAsia" w:hAnsi="Times New Roman" w:cs="Times New Roman" w:hint="eastAsia"/>
          <w:sz w:val="21"/>
          <w:szCs w:val="21"/>
        </w:rPr>
        <w:t>人民日报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5C51FA">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月</w:t>
      </w:r>
      <w:r w:rsidR="005C51FA">
        <w:rPr>
          <w:rFonts w:ascii="Times New Roman" w:eastAsiaTheme="minorEastAsia" w:hAnsi="Times New Roman" w:cs="Times New Roman" w:hint="eastAsia"/>
          <w:sz w:val="21"/>
          <w:szCs w:val="21"/>
        </w:rPr>
        <w:t>15</w:t>
      </w:r>
      <w:r>
        <w:rPr>
          <w:rFonts w:ascii="Times New Roman" w:eastAsiaTheme="minorEastAsia" w:hAnsi="Times New Roman" w:cs="Times New Roman"/>
          <w:sz w:val="21"/>
          <w:szCs w:val="21"/>
        </w:rPr>
        <w:t>日）</w:t>
      </w:r>
    </w:p>
    <w:p w:rsidR="00203F1E" w:rsidRPr="00FA084F" w:rsidRDefault="00FA084F" w:rsidP="00E17E75">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Pr="005C51FA">
        <w:rPr>
          <w:rFonts w:asciiTheme="minorEastAsia" w:eastAsiaTheme="minorEastAsia" w:hAnsiTheme="minorEastAsia"/>
          <w:b/>
          <w:sz w:val="24"/>
          <w:szCs w:val="24"/>
        </w:rPr>
        <w:t>上海：高校课程思政领航计划启动</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sz w:val="21"/>
          <w:szCs w:val="21"/>
        </w:rPr>
        <w:t>从</w:t>
      </w:r>
      <w:r w:rsidRPr="005C51FA">
        <w:rPr>
          <w:rFonts w:asciiTheme="minorEastAsia" w:eastAsiaTheme="minorEastAsia" w:hAnsiTheme="minorEastAsia" w:hint="eastAsia"/>
          <w:sz w:val="21"/>
          <w:szCs w:val="21"/>
        </w:rPr>
        <w:t>近日召开的复旦大学课程思政建设现场交流推进会上获悉，上海将于2019年启动“高校课程思政领航计划”，对入选高校每年给予200万元资助。上海市教委副主任郭为禄介绍，上海高校课程思政领航计划将遴选推出一批整体改革领航高校、重点改革领航学院、特色改革领航团队和精品改革领航课程，提供重点支持，力求出一批好老师、好课程、好学院、好制度，在实践中形成课程思政教学规范。上海明确，在推进高校课程思政过程中强化项目支撑引领，高校青年教师培养资助计划的申报主题必须聚焦课程思政，在各类人才项目评审和表彰项目中将课程思政教育教学改革成果作为重要考察内容。在此次会议上，《复旦大学课程思政体系建设实施方案》出台，《方案》提出力争到2020年建成3个课程思政示范专业、20门课程思政示范在线课程、100门课程思政示范专业课程，整体建成一个人文医学课程体系。</w:t>
      </w:r>
      <w:r>
        <w:rPr>
          <w:rFonts w:asciiTheme="minorEastAsia" w:eastAsiaTheme="minorEastAsia" w:hAnsiTheme="minorEastAsia" w:hint="eastAsia"/>
          <w:sz w:val="21"/>
          <w:szCs w:val="21"/>
        </w:rPr>
        <w:t>来源：《中国教育报》</w:t>
      </w:r>
      <w:r w:rsidRPr="00203F1E">
        <w:rPr>
          <w:rFonts w:asciiTheme="minorEastAsia" w:eastAsiaTheme="minorEastAsia" w:hAnsiTheme="minorEastAsia"/>
          <w:sz w:val="21"/>
          <w:szCs w:val="21"/>
        </w:rPr>
        <w:t>（2018年</w:t>
      </w:r>
      <w:r w:rsidRPr="00203F1E">
        <w:rPr>
          <w:rFonts w:asciiTheme="minorEastAsia" w:eastAsiaTheme="minorEastAsia" w:hAnsiTheme="minorEastAsia" w:hint="eastAsia"/>
          <w:sz w:val="21"/>
          <w:szCs w:val="21"/>
        </w:rPr>
        <w:t>6</w:t>
      </w:r>
      <w:r w:rsidRPr="00203F1E">
        <w:rPr>
          <w:rFonts w:asciiTheme="minorEastAsia" w:eastAsiaTheme="minorEastAsia" w:hAnsiTheme="minorEastAsia"/>
          <w:sz w:val="21"/>
          <w:szCs w:val="21"/>
        </w:rPr>
        <w:t>月</w:t>
      </w:r>
      <w:r w:rsidRPr="00203F1E">
        <w:rPr>
          <w:rFonts w:asciiTheme="minorEastAsia" w:eastAsiaTheme="minorEastAsia" w:hAnsiTheme="minorEastAsia" w:hint="eastAsia"/>
          <w:sz w:val="21"/>
          <w:szCs w:val="21"/>
        </w:rPr>
        <w:t>18</w:t>
      </w:r>
      <w:r w:rsidRPr="00203F1E">
        <w:rPr>
          <w:rFonts w:asciiTheme="minorEastAsia" w:eastAsiaTheme="minorEastAsia" w:hAnsiTheme="minorEastAsia"/>
          <w:sz w:val="21"/>
          <w:szCs w:val="21"/>
        </w:rPr>
        <w:t>日）</w:t>
      </w:r>
    </w:p>
    <w:p w:rsidR="00203F1E" w:rsidRDefault="00203F1E" w:rsidP="00E17E75">
      <w:pPr>
        <w:pStyle w:val="a6"/>
        <w:spacing w:beforeLines="50" w:beforeAutospacing="0" w:afterLines="0" w:afterAutospacing="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rPr>
        <w:t>▲</w:t>
      </w:r>
      <w:r w:rsidRPr="005C51FA">
        <w:rPr>
          <w:rFonts w:asciiTheme="minorEastAsia" w:eastAsiaTheme="minorEastAsia" w:hAnsiTheme="minorEastAsia"/>
          <w:b/>
          <w:bCs/>
        </w:rPr>
        <w:t>优化部省合作机制 服务国家重大战略</w:t>
      </w:r>
      <w:r>
        <w:rPr>
          <w:rFonts w:asciiTheme="minorEastAsia" w:eastAsiaTheme="minorEastAsia" w:hAnsiTheme="minorEastAsia" w:hint="eastAsia"/>
        </w:rPr>
        <w:t xml:space="preserve"> </w:t>
      </w:r>
      <w:r w:rsidRPr="005C51FA">
        <w:rPr>
          <w:rFonts w:asciiTheme="minorEastAsia" w:eastAsiaTheme="minorEastAsia" w:hAnsiTheme="minorEastAsia"/>
          <w:b/>
          <w:bCs/>
        </w:rPr>
        <w:t>教育部与广东省政府举行部省联席会议</w:t>
      </w:r>
      <w:r>
        <w:rPr>
          <w:rFonts w:asciiTheme="minorEastAsia" w:eastAsiaTheme="minorEastAsia" w:hAnsiTheme="minorEastAsia" w:hint="eastAsia"/>
          <w:b/>
          <w:bCs/>
        </w:rPr>
        <w:t xml:space="preserve"> </w:t>
      </w:r>
      <w:r w:rsidRPr="005C51FA">
        <w:rPr>
          <w:rFonts w:asciiTheme="minorEastAsia" w:eastAsiaTheme="minorEastAsia" w:hAnsiTheme="minorEastAsia" w:hint="eastAsia"/>
          <w:sz w:val="21"/>
          <w:szCs w:val="21"/>
        </w:rPr>
        <w:t>近日，教育部与广东省政府在深圳签署《共同加快推进世界一流大学和一流学科建设协议》，并召开2018年深化教育体制综合改革联席会议。教育部党组书记、部长陈宝生，广东省省长马兴瑞代表双方签署协议，广东省委书记李希见证签字仪式。陈宝生、马兴瑞出席部省联席会议并讲话。根据协议，在巩固以往重点共建成果基础上，教育部和广东省将共同推进中山大学、华南理工大学加快建成世界一流大学，共同推进暨南大学、广州中医药大学和华南师范大学加快建成世界一流学科，为广东实施创新驱动发展战略、推动国家科技产业创新中心和粤港澳大湾区建设、奋力实现“四个走在全国前列”提供人才、科技和智力支撑。陈宝生强调，当前我国教育改革发展已进入新时代。立</w:t>
      </w:r>
      <w:r w:rsidRPr="005C51FA">
        <w:rPr>
          <w:rFonts w:asciiTheme="minorEastAsia" w:eastAsiaTheme="minorEastAsia" w:hAnsiTheme="minorEastAsia" w:hint="eastAsia"/>
          <w:sz w:val="21"/>
          <w:szCs w:val="21"/>
        </w:rPr>
        <w:lastRenderedPageBreak/>
        <w:t>足新时代办好广东教育，要瞄准“两个一百年”奋斗目标，围绕教育现代化、建设教育强国和教育强省集中发力，推动广东教育再创新辉煌。马兴瑞表示，广东省委、省政府高度重视教育工作。希望部省双方加强协同配合，全力确保各项合作项目取得实效。</w:t>
      </w:r>
      <w:r>
        <w:rPr>
          <w:rFonts w:ascii="Times New Roman" w:eastAsiaTheme="minorEastAsia" w:hAnsi="Times New Roman" w:cs="Times New Roman"/>
          <w:sz w:val="21"/>
          <w:szCs w:val="21"/>
        </w:rPr>
        <w:t>来源：《</w:t>
      </w:r>
      <w:r>
        <w:rPr>
          <w:rFonts w:ascii="Times New Roman" w:eastAsiaTheme="minorEastAsia" w:hAnsi="Times New Roman" w:cs="Times New Roman" w:hint="eastAsia"/>
          <w:sz w:val="21"/>
          <w:szCs w:val="21"/>
        </w:rPr>
        <w:t>中国教育报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14</w:t>
      </w:r>
      <w:r>
        <w:rPr>
          <w:rFonts w:ascii="Times New Roman" w:eastAsiaTheme="minorEastAsia" w:hAnsi="Times New Roman" w:cs="Times New Roman"/>
          <w:sz w:val="21"/>
          <w:szCs w:val="21"/>
        </w:rPr>
        <w:t>日）</w:t>
      </w:r>
    </w:p>
    <w:p w:rsidR="00FA084F" w:rsidRPr="00203F1E" w:rsidRDefault="00FA084F" w:rsidP="00E17E75">
      <w:pPr>
        <w:pStyle w:val="a6"/>
        <w:spacing w:beforeLines="50" w:beforeAutospacing="0" w:afterLines="0" w:afterAutospacing="0" w:line="324" w:lineRule="auto"/>
        <w:jc w:val="both"/>
        <w:rPr>
          <w:rFonts w:asciiTheme="minorEastAsia" w:eastAsiaTheme="minorEastAsia" w:hAnsiTheme="minorEastAsia"/>
          <w:sz w:val="21"/>
          <w:szCs w:val="21"/>
        </w:rPr>
      </w:pPr>
      <w:r>
        <w:rPr>
          <w:rFonts w:asciiTheme="minorEastAsia" w:eastAsiaTheme="minorEastAsia" w:hAnsiTheme="minorEastAsia" w:hint="eastAsia"/>
          <w:b/>
        </w:rPr>
        <w:t>▲</w:t>
      </w:r>
      <w:r w:rsidRPr="00FA084F">
        <w:rPr>
          <w:rFonts w:asciiTheme="minorEastAsia" w:eastAsiaTheme="minorEastAsia" w:hAnsiTheme="minorEastAsia" w:hint="eastAsia"/>
          <w:b/>
        </w:rPr>
        <w:t>湖北省部分职业资格效力等同职称</w:t>
      </w:r>
      <w:r>
        <w:rPr>
          <w:rFonts w:asciiTheme="minorEastAsia" w:eastAsiaTheme="minorEastAsia" w:hAnsiTheme="minorEastAsia" w:hint="eastAsia"/>
          <w:b/>
        </w:rPr>
        <w:t xml:space="preserve"> </w:t>
      </w:r>
      <w:r>
        <w:rPr>
          <w:rFonts w:asciiTheme="minorEastAsia" w:eastAsiaTheme="minorEastAsia" w:hAnsiTheme="minorEastAsia" w:hint="eastAsia"/>
          <w:sz w:val="21"/>
          <w:szCs w:val="21"/>
        </w:rPr>
        <w:t>近日</w:t>
      </w:r>
      <w:r w:rsidRPr="00FA084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湖北</w:t>
      </w:r>
      <w:r w:rsidRPr="00FA084F">
        <w:rPr>
          <w:rFonts w:asciiTheme="minorEastAsia" w:eastAsiaTheme="minorEastAsia" w:hAnsiTheme="minorEastAsia" w:hint="eastAsia"/>
          <w:sz w:val="21"/>
          <w:szCs w:val="21"/>
        </w:rPr>
        <w:t>省人社厅发布消息，为进一步减少重复评价，降低社会用人成本，向全省印发《关于建立部分专业技术类职业资格与职称对应关系的通知》（以下简称《通知》），将原有相对独立的职业资格制度和职称制度打通使用，明确部分专业技术类职业资格效力直接等同于职称。《通知》明确，通过全国统一考试，取得注册消防工程师、注册核安全工程师、房地产估价师、造价工程师、注册城乡规划师、注册验船师、注册计量师、注册安全工程师、注册测绘师、注册会计师、注册建筑师、建造师、勘察设计注册工程师等13项准入类职业资格证书的专业技术人员，其职业资格直接对应相应系列和层级的职称，两者享有同等效力。以前，专业技术人员取得上述13项职业资格，不能作为晋升高一级职称的依据，还需参加相应系列评审，方可晋升。此项新制度打破了原有政策壁垒，专业技术人员取得上述13项准入类职业资格，即可直接对应相应系列和层级的职称，有机会晋升相应高一级职称。《通知》还明确，通过全国统一考试，取得卫生技术、经济、统计、会计（审计）、通信、计算机软件、出版、翻译、船舶等9项职业资格证书的专业技术人员，其职业资格按现行国家职业资格制度和职称制度有关规定对应相应系列和层级的职称。国务院清理规范职业资格前，通过全国统一考试，取得质量专业职业资格的专业技术人员，其职业资格证书仍然有效，对应工程系列质量专业相应层级的职称。</w:t>
      </w:r>
      <w:r>
        <w:rPr>
          <w:rFonts w:asciiTheme="minorEastAsia" w:eastAsiaTheme="minorEastAsia" w:hAnsiTheme="minorEastAsia" w:cstheme="minorBidi" w:hint="eastAsia"/>
          <w:sz w:val="21"/>
          <w:szCs w:val="21"/>
        </w:rPr>
        <w:t>来源：《湖北省政府网站》</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27</w:t>
      </w:r>
      <w:r>
        <w:rPr>
          <w:rFonts w:ascii="Times New Roman" w:eastAsiaTheme="minorEastAsia" w:hAnsi="Times New Roman" w:cs="Times New Roman"/>
          <w:sz w:val="21"/>
          <w:szCs w:val="21"/>
        </w:rPr>
        <w:t>日）</w:t>
      </w:r>
    </w:p>
    <w:p w:rsidR="00890DF6" w:rsidRDefault="00AF5955" w:rsidP="00E17E75">
      <w:pPr>
        <w:spacing w:beforeLines="50" w:afterLines="0" w:line="300" w:lineRule="auto"/>
        <w:jc w:val="center"/>
        <w:rPr>
          <w:rFonts w:asciiTheme="minorEastAsia" w:eastAsiaTheme="minorEastAsia" w:hAnsiTheme="minorEastAsia"/>
          <w:b/>
          <w:sz w:val="24"/>
          <w:szCs w:val="24"/>
        </w:rPr>
      </w:pPr>
      <w:r>
        <w:rPr>
          <w:rFonts w:ascii="黑体" w:eastAsia="黑体" w:hAnsi="黑体" w:hint="eastAsia"/>
          <w:sz w:val="28"/>
          <w:szCs w:val="28"/>
        </w:rPr>
        <w:t>【院校动态】</w:t>
      </w:r>
    </w:p>
    <w:p w:rsidR="00F80F63" w:rsidRPr="00F80F63" w:rsidRDefault="00F80F63" w:rsidP="00E17E75">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00203F1E" w:rsidRPr="00203F1E">
        <w:rPr>
          <w:rFonts w:asciiTheme="minorEastAsia" w:eastAsiaTheme="minorEastAsia" w:hAnsiTheme="minorEastAsia" w:hint="eastAsia"/>
          <w:b/>
          <w:bCs/>
          <w:sz w:val="24"/>
          <w:szCs w:val="24"/>
        </w:rPr>
        <w:t>清华大学已与50多个国家280所大学签订合作协议</w:t>
      </w:r>
      <w:r w:rsidRPr="0064674A">
        <w:rPr>
          <w:rFonts w:asciiTheme="minorEastAsia" w:eastAsiaTheme="minorEastAsia" w:hAnsiTheme="minorEastAsia"/>
          <w:sz w:val="21"/>
          <w:szCs w:val="21"/>
        </w:rPr>
        <w:t xml:space="preserve">　</w:t>
      </w:r>
      <w:r w:rsidR="00203F1E" w:rsidRPr="00203F1E">
        <w:rPr>
          <w:rFonts w:asciiTheme="minorEastAsia" w:eastAsiaTheme="minorEastAsia" w:hAnsiTheme="minorEastAsia" w:hint="eastAsia"/>
          <w:sz w:val="21"/>
          <w:szCs w:val="21"/>
        </w:rPr>
        <w:t>近日</w:t>
      </w:r>
      <w:r w:rsidR="00203F1E">
        <w:rPr>
          <w:rFonts w:asciiTheme="minorEastAsia" w:eastAsiaTheme="minorEastAsia" w:hAnsiTheme="minorEastAsia" w:hint="eastAsia"/>
          <w:sz w:val="21"/>
          <w:szCs w:val="21"/>
        </w:rPr>
        <w:t>，</w:t>
      </w:r>
      <w:r w:rsidR="00203F1E" w:rsidRPr="00203F1E">
        <w:rPr>
          <w:rFonts w:asciiTheme="minorEastAsia" w:eastAsiaTheme="minorEastAsia" w:hAnsiTheme="minorEastAsia" w:hint="eastAsia"/>
          <w:sz w:val="21"/>
          <w:szCs w:val="21"/>
        </w:rPr>
        <w:t>从清华大学获悉，从1978年到2017年，来清华工作的外国专家有2.7万余人、国际学生3.2万余人，清华公派教师和学生共计14.7万余人。目前，清华与32个国家的140所大学签署了学生交换协议，与全球50多个国家280所大学签订了合作协议，全面提升国际化办学能力与全球影响力。据悉，2008年到2017年，清华毕业的研究生有出国访问学习经历的比例从22%上升到38%，博士生从38%上升到64%，本科毕业生达到54%。“这是国家投入也是学校重视的结果，使更多学生在求学阶段就有扩大自己视野的经历。如果大学要培养有国际视野的人，没有开放是做不到的，它也是人才培养的前提。”据介绍，清华2016年推出全球战略，致力于培养具备全球胜任力的拔尖创新人才，切实开展服务国家和世界的研究和全面提升国际化办学能力与全球影响力。在此基础上，清华又提出国际办学能力提升计划，以2020年建成世界一流大学为目标，扎实推进校园国际化建设。</w:t>
      </w:r>
      <w:r>
        <w:rPr>
          <w:rFonts w:asciiTheme="minorEastAsia" w:eastAsiaTheme="minorEastAsia" w:hAnsiTheme="minorEastAsia" w:hint="eastAsia"/>
          <w:sz w:val="21"/>
          <w:szCs w:val="21"/>
        </w:rPr>
        <w:t>来源：《</w:t>
      </w:r>
      <w:r w:rsidR="00203F1E">
        <w:rPr>
          <w:rFonts w:asciiTheme="minorEastAsia" w:eastAsiaTheme="minorEastAsia" w:hAnsiTheme="minorEastAsia" w:hint="eastAsia"/>
          <w:sz w:val="21"/>
          <w:szCs w:val="21"/>
        </w:rPr>
        <w:t>中国教育报</w:t>
      </w:r>
      <w:r w:rsidRPr="00F80F63">
        <w:rPr>
          <w:rFonts w:asciiTheme="minorEastAsia" w:eastAsiaTheme="minorEastAsia" w:hAnsiTheme="minorEastAsia"/>
          <w:sz w:val="21"/>
          <w:szCs w:val="21"/>
        </w:rPr>
        <w:t>》（2018年</w:t>
      </w:r>
      <w:r w:rsidR="00203F1E">
        <w:rPr>
          <w:rFonts w:asciiTheme="minorEastAsia" w:eastAsiaTheme="minorEastAsia" w:hAnsiTheme="minorEastAsia" w:hint="eastAsia"/>
          <w:sz w:val="21"/>
          <w:szCs w:val="21"/>
        </w:rPr>
        <w:t>6</w:t>
      </w:r>
      <w:r w:rsidRPr="00F80F63">
        <w:rPr>
          <w:rFonts w:asciiTheme="minorEastAsia" w:eastAsiaTheme="minorEastAsia" w:hAnsiTheme="minorEastAsia"/>
          <w:sz w:val="21"/>
          <w:szCs w:val="21"/>
        </w:rPr>
        <w:t>月</w:t>
      </w:r>
      <w:r w:rsidRPr="00F80F63">
        <w:rPr>
          <w:rFonts w:asciiTheme="minorEastAsia" w:eastAsiaTheme="minorEastAsia" w:hAnsiTheme="minorEastAsia" w:hint="eastAsia"/>
          <w:sz w:val="21"/>
          <w:szCs w:val="21"/>
        </w:rPr>
        <w:t>2</w:t>
      </w:r>
      <w:r w:rsidR="00203F1E">
        <w:rPr>
          <w:rFonts w:asciiTheme="minorEastAsia" w:eastAsiaTheme="minorEastAsia" w:hAnsiTheme="minorEastAsia" w:hint="eastAsia"/>
          <w:sz w:val="21"/>
          <w:szCs w:val="21"/>
        </w:rPr>
        <w:t>5</w:t>
      </w:r>
      <w:r w:rsidRPr="00F80F63">
        <w:rPr>
          <w:rFonts w:asciiTheme="minorEastAsia" w:eastAsiaTheme="minorEastAsia" w:hAnsiTheme="minorEastAsia"/>
          <w:sz w:val="21"/>
          <w:szCs w:val="21"/>
        </w:rPr>
        <w:t>日）</w:t>
      </w:r>
    </w:p>
    <w:p w:rsidR="00890DF6" w:rsidRDefault="00AF5955" w:rsidP="00E17E75">
      <w:pPr>
        <w:pStyle w:val="a6"/>
        <w:spacing w:beforeLines="50" w:beforeAutospacing="0" w:afterLines="0" w:afterAutospacing="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rPr>
        <w:t>▲</w:t>
      </w:r>
      <w:r w:rsidR="00203F1E" w:rsidRPr="00203F1E">
        <w:rPr>
          <w:rFonts w:asciiTheme="minorEastAsia" w:eastAsiaTheme="minorEastAsia" w:hAnsiTheme="minorEastAsia" w:hint="eastAsia"/>
          <w:b/>
          <w:bCs/>
        </w:rPr>
        <w:t>复旦</w:t>
      </w:r>
      <w:r w:rsidR="00203F1E">
        <w:rPr>
          <w:rFonts w:asciiTheme="minorEastAsia" w:eastAsiaTheme="minorEastAsia" w:hAnsiTheme="minorEastAsia" w:hint="eastAsia"/>
          <w:b/>
          <w:bCs/>
        </w:rPr>
        <w:t>大学成立</w:t>
      </w:r>
      <w:r w:rsidR="00203F1E" w:rsidRPr="00203F1E">
        <w:rPr>
          <w:rFonts w:asciiTheme="minorEastAsia" w:eastAsiaTheme="minorEastAsia" w:hAnsiTheme="minorEastAsia" w:hint="eastAsia"/>
          <w:b/>
          <w:bCs/>
        </w:rPr>
        <w:t>党建服务中心</w:t>
      </w:r>
      <w:r w:rsidR="00203F1E">
        <w:rPr>
          <w:rFonts w:asciiTheme="minorEastAsia" w:eastAsiaTheme="minorEastAsia" w:hAnsiTheme="minorEastAsia" w:hint="eastAsia"/>
          <w:b/>
          <w:bCs/>
        </w:rPr>
        <w:t xml:space="preserve"> </w:t>
      </w:r>
      <w:r w:rsidR="00203F1E" w:rsidRPr="00203F1E">
        <w:rPr>
          <w:rFonts w:asciiTheme="minorEastAsia" w:eastAsiaTheme="minorEastAsia" w:hAnsiTheme="minorEastAsia" w:hint="eastAsia"/>
          <w:sz w:val="21"/>
          <w:szCs w:val="21"/>
        </w:rPr>
        <w:t>为进一步贯彻落实全国高校思政会议各项部署，不断加强高校基层党建工作力量，推动党员管理和党建服务规范化、精细化、信息化，复旦大学成立党建服务中心，致力于构建开放式、集约型、共享性的服务平台，为广大党员群众提供服务。据了解，党建服务中心将在复旦大学党委组织部领导下，配合开展党员教育、党员管理、党员服务，依托学校和区域化党建资源、党校师资库，为学校各级基层党组织建设和活动开展提供支撑。其职责功能包括组织关</w:t>
      </w:r>
      <w:r w:rsidR="00203F1E" w:rsidRPr="00203F1E">
        <w:rPr>
          <w:rFonts w:asciiTheme="minorEastAsia" w:eastAsiaTheme="minorEastAsia" w:hAnsiTheme="minorEastAsia" w:hint="eastAsia"/>
          <w:sz w:val="21"/>
          <w:szCs w:val="21"/>
        </w:rPr>
        <w:lastRenderedPageBreak/>
        <w:t>系转接、党员材料审核、党员队伍统计，并做好整合校内及区域化党建资源，满足党员、党组织多样的活动需求，提供党建活动项目和党课预约；定期收集基层党组织党建动态，做好党建信息地图及宣传交流展示，编发《复旦大学基层党建动态》等工作。该中心设立支部书记工作室，安排工作经验丰富、工作实绩突出的支部书记定期“坐诊”，针对新任职支部书记、支委，通过示范、带教、实训等形式，开展“传帮带”。作为复旦大学重要的党建工作平台，该中心还为热爱党务工作、有志于从事党政管理的优秀学生党员提供实践岗位，经党员自荐或院系党组织推荐、党委组织部培训合格后，按校区就近分配实践岗位，并计发勤助补贴。</w:t>
      </w:r>
      <w:r>
        <w:rPr>
          <w:rFonts w:asciiTheme="minorEastAsia" w:eastAsiaTheme="minorEastAsia" w:hAnsiTheme="minorEastAsia" w:cstheme="minorBidi" w:hint="eastAsia"/>
          <w:sz w:val="21"/>
          <w:szCs w:val="21"/>
        </w:rPr>
        <w:t>来源：《中国</w:t>
      </w:r>
      <w:r w:rsidR="00DF623F">
        <w:rPr>
          <w:rFonts w:asciiTheme="minorEastAsia" w:eastAsiaTheme="minorEastAsia" w:hAnsiTheme="minorEastAsia" w:cstheme="minorBidi" w:hint="eastAsia"/>
          <w:sz w:val="21"/>
          <w:szCs w:val="21"/>
        </w:rPr>
        <w:t>教育</w:t>
      </w:r>
      <w:r>
        <w:rPr>
          <w:rFonts w:asciiTheme="minorEastAsia" w:eastAsiaTheme="minorEastAsia" w:hAnsiTheme="minorEastAsia" w:cstheme="minorBidi" w:hint="eastAsia"/>
          <w:sz w:val="21"/>
          <w:szCs w:val="21"/>
        </w:rPr>
        <w:t>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203F1E">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月</w:t>
      </w:r>
      <w:r w:rsidR="00203F1E">
        <w:rPr>
          <w:rFonts w:ascii="Times New Roman" w:eastAsiaTheme="minorEastAsia" w:hAnsi="Times New Roman" w:cs="Times New Roman" w:hint="eastAsia"/>
          <w:sz w:val="21"/>
          <w:szCs w:val="21"/>
        </w:rPr>
        <w:t>27</w:t>
      </w:r>
      <w:r>
        <w:rPr>
          <w:rFonts w:ascii="Times New Roman" w:eastAsiaTheme="minorEastAsia" w:hAnsi="Times New Roman" w:cs="Times New Roman"/>
          <w:sz w:val="21"/>
          <w:szCs w:val="21"/>
        </w:rPr>
        <w:t>日）</w:t>
      </w:r>
    </w:p>
    <w:p w:rsidR="00FA084F" w:rsidRPr="00FA084F" w:rsidRDefault="00FA084F" w:rsidP="00E17E75">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Pr="00203F1E">
        <w:rPr>
          <w:rFonts w:asciiTheme="minorEastAsia" w:eastAsiaTheme="minorEastAsia" w:hAnsiTheme="minorEastAsia" w:hint="eastAsia"/>
          <w:b/>
          <w:bCs/>
          <w:sz w:val="24"/>
          <w:szCs w:val="24"/>
        </w:rPr>
        <w:t>上海交大构建跨院系“大工科”人才培养体系</w:t>
      </w:r>
      <w:r>
        <w:rPr>
          <w:rFonts w:asciiTheme="minorEastAsia" w:eastAsiaTheme="minorEastAsia" w:hAnsiTheme="minorEastAsia" w:hint="eastAsia"/>
          <w:b/>
          <w:bCs/>
          <w:sz w:val="24"/>
          <w:szCs w:val="24"/>
        </w:rPr>
        <w:t xml:space="preserve"> </w:t>
      </w:r>
      <w:r w:rsidRPr="00203F1E">
        <w:rPr>
          <w:rFonts w:asciiTheme="minorEastAsia" w:eastAsiaTheme="minorEastAsia" w:hAnsiTheme="minorEastAsia" w:hint="eastAsia"/>
          <w:sz w:val="21"/>
          <w:szCs w:val="21"/>
        </w:rPr>
        <w:t>日前，上海交通大学宣布，将从2018级工科类新生起，全覆盖所有专业实行大平台教学改革，打破本科阶段各专业从一年级逐级学到四年级的“一贯制”传统培养模式，四年学制由“1.5学年平台培养+2.5学年专业培养”构成。同时，这种大平台模式也会推广应用于生命与环境交叉、数理经管等多个学科。上海交大教务处处长吴静怡说，学校建立新型工科平台培养模式，旨在培养能够适应未来社会需求的创新型交叉复合型工程科技人才。据了解，上海交大今年全覆盖到所有新生的工科平台，涉及机械与动力工程、电子信息与电气工程、船舶海洋与建筑工程、材料科学与工程、生物医学工程、航空航天等6所强势工科学院，融合了机械工程、能源与动力工程、新能源科学与工程、生物医学工程等20个优势工科专业，真正突破了学院行政壁垒，着力构建多学科交叉复合型工程科学和技术人才培养体系。在上海交通大学新一轮的人才培养体系修订中，将工科平台、工科专业、致远工科荣誉计划三类专业培养打通，将工科平台原有培养优势和特色推广到所有优势工科专业中去，形成了“大工科”培养体系，扩大学生受益面。上海交通大学的工科创新人才培养模式，是针对新工科改革发展新形势下工程人才培养的整体解决方案，包含课程体系、培养模式、管理机制等的多方面综合改革。工科创新人才培养模式也可应用推广到其他学科大平台，上海交通大学已推广应用于生命与环境交叉平台、数理平台，成效明显，今年将进一步应用于经管平台等</w:t>
      </w:r>
      <w:r w:rsidRPr="00203F1E">
        <w:rPr>
          <w:rFonts w:asciiTheme="minorEastAsia" w:eastAsiaTheme="minorEastAsia" w:hAnsiTheme="minorEastAsia" w:hint="eastAsia"/>
          <w:b/>
          <w:bCs/>
          <w:sz w:val="21"/>
          <w:szCs w:val="21"/>
        </w:rPr>
        <w:t>。</w:t>
      </w:r>
      <w:r>
        <w:rPr>
          <w:rFonts w:asciiTheme="minorEastAsia" w:eastAsiaTheme="minorEastAsia" w:hAnsiTheme="minorEastAsia" w:hint="eastAsia"/>
          <w:sz w:val="21"/>
          <w:szCs w:val="21"/>
        </w:rPr>
        <w:t>来源：《中国科学报》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19</w:t>
      </w:r>
      <w:r>
        <w:rPr>
          <w:rFonts w:ascii="Times New Roman" w:eastAsiaTheme="minorEastAsia" w:hAnsi="Times New Roman" w:cs="Times New Roman"/>
          <w:sz w:val="21"/>
          <w:szCs w:val="21"/>
        </w:rPr>
        <w:t>日）</w:t>
      </w:r>
    </w:p>
    <w:p w:rsidR="00F80F63" w:rsidRDefault="00F80F63" w:rsidP="00E17E75">
      <w:pPr>
        <w:pStyle w:val="a6"/>
        <w:spacing w:beforeLines="50" w:beforeAutospacing="0" w:afterLines="0" w:afterAutospacing="0" w:line="324" w:lineRule="auto"/>
        <w:rPr>
          <w:rFonts w:ascii="Times New Roman" w:eastAsiaTheme="minorEastAsia" w:hAnsi="Times New Roman" w:cs="Times New Roman"/>
          <w:sz w:val="21"/>
          <w:szCs w:val="21"/>
        </w:rPr>
      </w:pPr>
      <w:r w:rsidRPr="00FA084F">
        <w:rPr>
          <w:rFonts w:asciiTheme="minorEastAsia" w:eastAsiaTheme="minorEastAsia" w:hAnsiTheme="minorEastAsia" w:hint="eastAsia"/>
          <w:b/>
          <w:bCs/>
        </w:rPr>
        <w:t>▲</w:t>
      </w:r>
      <w:r w:rsidR="00FA084F" w:rsidRPr="00FA084F">
        <w:rPr>
          <w:rFonts w:asciiTheme="minorEastAsia" w:eastAsiaTheme="minorEastAsia" w:hAnsiTheme="minorEastAsia" w:hint="eastAsia"/>
          <w:b/>
          <w:bCs/>
        </w:rPr>
        <w:t>江南大学：积极推进“健康中国”战略专业群建设</w:t>
      </w:r>
      <w:r w:rsidR="00FA084F">
        <w:rPr>
          <w:rFonts w:asciiTheme="minorEastAsia" w:eastAsiaTheme="minorEastAsia" w:hAnsiTheme="minorEastAsia" w:hint="eastAsia"/>
          <w:b/>
          <w:bCs/>
        </w:rPr>
        <w:t xml:space="preserve"> </w:t>
      </w:r>
      <w:r w:rsidR="00FA084F" w:rsidRPr="00FA084F">
        <w:rPr>
          <w:rFonts w:asciiTheme="minorEastAsia" w:eastAsiaTheme="minorEastAsia" w:hAnsiTheme="minorEastAsia" w:hint="eastAsia"/>
          <w:sz w:val="21"/>
          <w:szCs w:val="21"/>
        </w:rPr>
        <w:t>为响应“健康中国”战略的实施，</w:t>
      </w:r>
      <w:r w:rsidR="00304D27">
        <w:rPr>
          <w:rFonts w:asciiTheme="minorEastAsia" w:eastAsiaTheme="minorEastAsia" w:hAnsiTheme="minorEastAsia" w:hint="eastAsia"/>
          <w:sz w:val="21"/>
          <w:szCs w:val="21"/>
        </w:rPr>
        <w:t>江南大学</w:t>
      </w:r>
      <w:r w:rsidR="00FA084F" w:rsidRPr="00FA084F">
        <w:rPr>
          <w:rFonts w:asciiTheme="minorEastAsia" w:eastAsiaTheme="minorEastAsia" w:hAnsiTheme="minorEastAsia" w:hint="eastAsia"/>
          <w:sz w:val="21"/>
          <w:szCs w:val="21"/>
        </w:rPr>
        <w:t>积极做好专业优化调整。在加强食品科学与工程、食品质量与安全等一流学科专业建设的基础上，</w:t>
      </w:r>
      <w:r w:rsidR="00304D27">
        <w:rPr>
          <w:rFonts w:asciiTheme="minorEastAsia" w:eastAsiaTheme="minorEastAsia" w:hAnsiTheme="minorEastAsia" w:hint="eastAsia"/>
          <w:sz w:val="21"/>
          <w:szCs w:val="21"/>
        </w:rPr>
        <w:t>该</w:t>
      </w:r>
      <w:r w:rsidR="00FA084F" w:rsidRPr="00FA084F">
        <w:rPr>
          <w:rFonts w:asciiTheme="minorEastAsia" w:eastAsiaTheme="minorEastAsia" w:hAnsiTheme="minorEastAsia" w:hint="eastAsia"/>
          <w:sz w:val="21"/>
          <w:szCs w:val="21"/>
        </w:rPr>
        <w:t>校今年新增药学本科招生专业，优化了“健康中国”战略所对应的专业群。另外，江南大学面向“健康中国”战略所涉及的食品、生工、环境等领域专业给予招生政策上的倾斜，比如在自主招生专业设置和优惠等级，选考科目要求以及招生计划等方面均有所调整，以更好的服务行业产业和区域经济发展，为推进“健康中国”国家战略建设提供人才支撑。</w:t>
      </w:r>
      <w:r w:rsidR="00FA084F">
        <w:rPr>
          <w:rFonts w:asciiTheme="minorEastAsia" w:eastAsiaTheme="minorEastAsia" w:hAnsiTheme="minorEastAsia" w:hint="eastAsia"/>
          <w:sz w:val="21"/>
          <w:szCs w:val="21"/>
        </w:rPr>
        <w:t>同时，</w:t>
      </w:r>
      <w:r w:rsidR="00FA084F">
        <w:rPr>
          <w:rFonts w:hint="eastAsia"/>
          <w:color w:val="000000"/>
          <w:sz w:val="21"/>
          <w:szCs w:val="21"/>
        </w:rPr>
        <w:t>学校构建了多样化人才培养体系，覆盖了全部的本科招生专业，实施个性化人才培养方案。如国家生命科学与技术人才培养基地班，以培养生命科技领域高新技术创新创业人才为目标，以工业生物技术为特色，为我国能源、环境、医药、食品、化工等行业培养具有较强实践能力、富有创新精神的高层次人才。</w:t>
      </w:r>
      <w:r>
        <w:rPr>
          <w:rFonts w:asciiTheme="minorEastAsia" w:eastAsiaTheme="minorEastAsia" w:hAnsiTheme="minorEastAsia" w:cstheme="minorBidi" w:hint="eastAsia"/>
          <w:sz w:val="21"/>
          <w:szCs w:val="21"/>
        </w:rPr>
        <w:t>来源：《</w:t>
      </w:r>
      <w:r w:rsidR="00FA084F">
        <w:rPr>
          <w:rFonts w:asciiTheme="minorEastAsia" w:eastAsiaTheme="minorEastAsia" w:hAnsiTheme="minorEastAsia" w:cstheme="minorBidi" w:hint="eastAsia"/>
          <w:sz w:val="21"/>
          <w:szCs w:val="21"/>
        </w:rPr>
        <w:t>光明日报</w:t>
      </w:r>
      <w:r>
        <w:rPr>
          <w:rFonts w:asciiTheme="minorEastAsia" w:eastAsiaTheme="minorEastAsia" w:hAnsiTheme="minorEastAsia" w:cstheme="minorBidi" w:hint="eastAsia"/>
          <w:sz w:val="21"/>
          <w:szCs w:val="21"/>
        </w:rPr>
        <w:t>》</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FA084F">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月</w:t>
      </w:r>
      <w:r w:rsidR="00FA084F">
        <w:rPr>
          <w:rFonts w:ascii="Times New Roman" w:eastAsiaTheme="minorEastAsia" w:hAnsi="Times New Roman" w:cs="Times New Roman" w:hint="eastAsia"/>
          <w:sz w:val="21"/>
          <w:szCs w:val="21"/>
        </w:rPr>
        <w:t>11</w:t>
      </w:r>
      <w:r>
        <w:rPr>
          <w:rFonts w:ascii="Times New Roman" w:eastAsiaTheme="minorEastAsia" w:hAnsi="Times New Roman" w:cs="Times New Roman"/>
          <w:sz w:val="21"/>
          <w:szCs w:val="21"/>
        </w:rPr>
        <w:t>日）</w:t>
      </w:r>
    </w:p>
    <w:p w:rsidR="00FA084F" w:rsidRPr="00203F1E" w:rsidRDefault="00FA084F" w:rsidP="00E17E75">
      <w:pPr>
        <w:pStyle w:val="a6"/>
        <w:spacing w:beforeLines="50" w:beforeAutospacing="0" w:afterLines="0" w:afterAutospacing="0" w:line="324" w:lineRule="auto"/>
        <w:jc w:val="both"/>
        <w:rPr>
          <w:rFonts w:asciiTheme="minorEastAsia" w:eastAsiaTheme="minorEastAsia" w:hAnsiTheme="minorEastAsia"/>
          <w:sz w:val="21"/>
          <w:szCs w:val="21"/>
        </w:rPr>
      </w:pPr>
      <w:r>
        <w:rPr>
          <w:rFonts w:asciiTheme="minorEastAsia" w:eastAsiaTheme="minorEastAsia" w:hAnsiTheme="minorEastAsia" w:hint="eastAsia"/>
          <w:b/>
        </w:rPr>
        <w:t>▲</w:t>
      </w:r>
      <w:r w:rsidRPr="00203F1E">
        <w:rPr>
          <w:rFonts w:asciiTheme="minorEastAsia" w:eastAsiaTheme="minorEastAsia" w:hAnsiTheme="minorEastAsia" w:hint="eastAsia"/>
          <w:b/>
        </w:rPr>
        <w:t>武汉科技大学积极探索人才引进激励评价机制</w:t>
      </w:r>
      <w:r>
        <w:rPr>
          <w:rFonts w:asciiTheme="minorEastAsia" w:eastAsiaTheme="minorEastAsia" w:hAnsiTheme="minorEastAsia" w:hint="eastAsia"/>
          <w:b/>
        </w:rPr>
        <w:t xml:space="preserve"> </w:t>
      </w:r>
      <w:r w:rsidRPr="00203F1E">
        <w:rPr>
          <w:rFonts w:asciiTheme="minorEastAsia" w:eastAsiaTheme="minorEastAsia" w:hAnsiTheme="minorEastAsia" w:hint="eastAsia"/>
          <w:sz w:val="21"/>
          <w:szCs w:val="21"/>
        </w:rPr>
        <w:t>近日，武汉科技大学深入贯彻落实部省两级“放管服”改革文件精神，积极探索人才引进、激励和评价机制，用好用实高校选人用人自主权，取得很好成效。</w:t>
      </w:r>
      <w:r w:rsidRPr="00203F1E">
        <w:rPr>
          <w:rFonts w:asciiTheme="minorEastAsia" w:eastAsiaTheme="minorEastAsia" w:hAnsiTheme="minorEastAsia" w:hint="eastAsia"/>
          <w:bCs/>
          <w:sz w:val="21"/>
          <w:szCs w:val="21"/>
        </w:rPr>
        <w:t>（一）实施“准聘”“长聘”引进机制。</w:t>
      </w:r>
      <w:r w:rsidRPr="00203F1E">
        <w:rPr>
          <w:rFonts w:asciiTheme="minorEastAsia" w:eastAsiaTheme="minorEastAsia" w:hAnsiTheme="minorEastAsia" w:hint="eastAsia"/>
          <w:sz w:val="21"/>
          <w:szCs w:val="21"/>
        </w:rPr>
        <w:t>对教师系列新进教师采用“准聘”形式的聘期合约管理，拟制定《教师“准聘”“长聘”制实施办法（试行）》。对以任课教师身份引进的</w:t>
      </w:r>
      <w:r w:rsidRPr="00203F1E">
        <w:rPr>
          <w:rFonts w:asciiTheme="minorEastAsia" w:eastAsiaTheme="minorEastAsia" w:hAnsiTheme="minorEastAsia" w:hint="eastAsia"/>
          <w:sz w:val="21"/>
          <w:szCs w:val="21"/>
        </w:rPr>
        <w:lastRenderedPageBreak/>
        <w:t>博士实行“准聘”制管理，3年为一个聘期，聘期内分别制定相应的任务，两个聘期（6年）考核合格后方能转为“长聘”管理，对考核不合格者，转岗到其他系列岗位工作或者不再聘任。</w:t>
      </w:r>
      <w:r w:rsidRPr="00203F1E">
        <w:rPr>
          <w:rFonts w:asciiTheme="minorEastAsia" w:eastAsiaTheme="minorEastAsia" w:hAnsiTheme="minorEastAsia" w:hint="eastAsia"/>
          <w:bCs/>
          <w:sz w:val="21"/>
          <w:szCs w:val="21"/>
        </w:rPr>
        <w:t>（二）创新“套餐式”薪酬分配激励机制。</w:t>
      </w:r>
      <w:r w:rsidRPr="00203F1E">
        <w:rPr>
          <w:rFonts w:asciiTheme="minorEastAsia" w:eastAsiaTheme="minorEastAsia" w:hAnsiTheme="minorEastAsia" w:hint="eastAsia"/>
          <w:sz w:val="21"/>
          <w:szCs w:val="21"/>
        </w:rPr>
        <w:t>学校坚持尊重人才价值、体现分级分类管理、强化职责意识、注重激励效果的原则，建立以体现知识价值、业绩贡献为导向的高层次人才薪酬分配机制，尝试“套餐式”分档合同管理模式。</w:t>
      </w:r>
      <w:r w:rsidRPr="00203F1E">
        <w:rPr>
          <w:rFonts w:asciiTheme="minorEastAsia" w:eastAsiaTheme="minorEastAsia" w:hAnsiTheme="minorEastAsia" w:hint="eastAsia"/>
          <w:bCs/>
          <w:sz w:val="21"/>
          <w:szCs w:val="21"/>
        </w:rPr>
        <w:t>（三）建立“分类+校外同行专家”评审机制。</w:t>
      </w:r>
      <w:r w:rsidRPr="00203F1E">
        <w:rPr>
          <w:rFonts w:asciiTheme="minorEastAsia" w:eastAsiaTheme="minorEastAsia" w:hAnsiTheme="minorEastAsia" w:hint="eastAsia"/>
          <w:sz w:val="21"/>
          <w:szCs w:val="21"/>
        </w:rPr>
        <w:t>学校从健全机制、完善标准、创新思路入手，坚持权责统一，充分落实省里下放的评审自主权，发挥职称制度的激励导向作用，在省属高校中首批获得全学科教授评审权。在省属高校中率先建立以校外同行专家评审为基础的职称评价机制，对申报教授职称的申报材料“代表性成果”进行了校外同行专家鉴定,转变已往重数量轻质量的评价倾向，鼓励潜心研究、长期积累，杜绝急功近利的短期行为，取得了很好的效果。</w:t>
      </w:r>
      <w:r w:rsidRPr="00203F1E">
        <w:rPr>
          <w:rFonts w:asciiTheme="minorEastAsia" w:eastAsiaTheme="minorEastAsia" w:hAnsiTheme="minorEastAsia" w:cstheme="minorBidi" w:hint="eastAsia"/>
          <w:sz w:val="21"/>
          <w:szCs w:val="21"/>
        </w:rPr>
        <w:t>来源：《</w:t>
      </w:r>
      <w:r>
        <w:rPr>
          <w:rFonts w:asciiTheme="minorEastAsia" w:eastAsiaTheme="minorEastAsia" w:hAnsiTheme="minorEastAsia" w:cstheme="minorBidi" w:hint="eastAsia"/>
          <w:sz w:val="21"/>
          <w:szCs w:val="21"/>
        </w:rPr>
        <w:t>湖北省教育厅网站</w:t>
      </w:r>
      <w:r w:rsidRPr="00203F1E">
        <w:rPr>
          <w:rFonts w:asciiTheme="minorEastAsia" w:eastAsiaTheme="minorEastAsia" w:hAnsiTheme="minorEastAsia" w:cstheme="minorBidi" w:hint="eastAsia"/>
          <w:sz w:val="21"/>
          <w:szCs w:val="21"/>
        </w:rPr>
        <w:t>》</w:t>
      </w:r>
      <w:r w:rsidRPr="00203F1E">
        <w:rPr>
          <w:rFonts w:asciiTheme="minorEastAsia" w:eastAsiaTheme="minorEastAsia" w:hAnsiTheme="minorEastAsia" w:cs="Times New Roman"/>
          <w:sz w:val="21"/>
          <w:szCs w:val="21"/>
        </w:rPr>
        <w:t>（2018年</w:t>
      </w:r>
      <w:r>
        <w:rPr>
          <w:rFonts w:asciiTheme="minorEastAsia" w:eastAsiaTheme="minorEastAsia" w:hAnsiTheme="minorEastAsia" w:cs="Times New Roman" w:hint="eastAsia"/>
          <w:sz w:val="21"/>
          <w:szCs w:val="21"/>
        </w:rPr>
        <w:t>6</w:t>
      </w:r>
      <w:r w:rsidRPr="00203F1E">
        <w:rPr>
          <w:rFonts w:asciiTheme="minorEastAsia" w:eastAsiaTheme="minorEastAsia" w:hAnsiTheme="minorEastAsia" w:cs="Times New Roman"/>
          <w:sz w:val="21"/>
          <w:szCs w:val="21"/>
        </w:rPr>
        <w:t>月</w:t>
      </w:r>
      <w:r w:rsidRPr="00203F1E">
        <w:rPr>
          <w:rFonts w:asciiTheme="minorEastAsia" w:eastAsiaTheme="minorEastAsia" w:hAnsiTheme="minorEastAsia" w:cs="Times New Roman" w:hint="eastAsia"/>
          <w:sz w:val="21"/>
          <w:szCs w:val="21"/>
        </w:rPr>
        <w:t>1</w:t>
      </w:r>
      <w:r>
        <w:rPr>
          <w:rFonts w:asciiTheme="minorEastAsia" w:eastAsiaTheme="minorEastAsia" w:hAnsiTheme="minorEastAsia" w:cs="Times New Roman" w:hint="eastAsia"/>
          <w:sz w:val="21"/>
          <w:szCs w:val="21"/>
        </w:rPr>
        <w:t>2</w:t>
      </w:r>
      <w:r w:rsidRPr="00203F1E">
        <w:rPr>
          <w:rFonts w:asciiTheme="minorEastAsia" w:eastAsiaTheme="minorEastAsia" w:hAnsiTheme="minorEastAsia" w:cs="Times New Roman"/>
          <w:sz w:val="21"/>
          <w:szCs w:val="21"/>
        </w:rPr>
        <w:t>日）</w:t>
      </w:r>
    </w:p>
    <w:p w:rsidR="00FA084F" w:rsidRPr="00FA084F" w:rsidRDefault="00FA084F" w:rsidP="00E17E75">
      <w:pPr>
        <w:pStyle w:val="a6"/>
        <w:spacing w:beforeLines="50" w:afterLines="0" w:line="324" w:lineRule="auto"/>
        <w:rPr>
          <w:rFonts w:asciiTheme="minorEastAsia" w:eastAsiaTheme="minorEastAsia" w:hAnsiTheme="minorEastAsia"/>
        </w:rPr>
      </w:pPr>
    </w:p>
    <w:p w:rsidR="00890DF6" w:rsidRDefault="00890DF6">
      <w:pPr>
        <w:adjustRightInd/>
        <w:snapToGrid/>
        <w:spacing w:afterLines="0" w:line="348" w:lineRule="auto"/>
        <w:rPr>
          <w:rFonts w:ascii="黑体" w:eastAsia="黑体" w:hAnsi="黑体" w:cs="宋体"/>
          <w:color w:val="000000"/>
          <w:sz w:val="29"/>
          <w:szCs w:val="29"/>
        </w:rPr>
      </w:pPr>
      <w:bookmarkStart w:id="0" w:name="_GoBack"/>
      <w:bookmarkEnd w:id="0"/>
    </w:p>
    <w:p w:rsidR="00890DF6" w:rsidRDefault="00890DF6">
      <w:pPr>
        <w:adjustRightInd/>
        <w:snapToGrid/>
        <w:spacing w:afterLines="0" w:line="348" w:lineRule="auto"/>
        <w:rPr>
          <w:rFonts w:ascii="黑体" w:eastAsia="黑体" w:hAnsi="黑体" w:cs="宋体"/>
          <w:color w:val="000000"/>
          <w:sz w:val="29"/>
          <w:szCs w:val="29"/>
        </w:rPr>
      </w:pPr>
    </w:p>
    <w:p w:rsidR="0089256A" w:rsidRDefault="0089256A">
      <w:pPr>
        <w:adjustRightInd/>
        <w:snapToGrid/>
        <w:spacing w:afterLines="0" w:line="348" w:lineRule="auto"/>
        <w:rPr>
          <w:rFonts w:ascii="黑体" w:eastAsia="黑体" w:hAnsi="黑体" w:cs="宋体"/>
          <w:color w:val="000000"/>
          <w:sz w:val="29"/>
          <w:szCs w:val="29"/>
        </w:rPr>
      </w:pPr>
    </w:p>
    <w:p w:rsidR="00FA084F" w:rsidRDefault="00FA084F">
      <w:pPr>
        <w:adjustRightInd/>
        <w:snapToGrid/>
        <w:spacing w:afterLines="0" w:line="348" w:lineRule="auto"/>
        <w:rPr>
          <w:rFonts w:ascii="黑体" w:eastAsia="黑体" w:hAnsi="黑体" w:cs="宋体"/>
          <w:color w:val="000000"/>
          <w:sz w:val="29"/>
          <w:szCs w:val="29"/>
        </w:rPr>
      </w:pPr>
    </w:p>
    <w:p w:rsidR="00CF1A9F" w:rsidRDefault="00CF1A9F">
      <w:pPr>
        <w:adjustRightInd/>
        <w:snapToGrid/>
        <w:spacing w:afterLines="0" w:line="348" w:lineRule="auto"/>
        <w:rPr>
          <w:rFonts w:ascii="黑体" w:eastAsia="黑体" w:hAnsi="黑体" w:cs="宋体"/>
          <w:color w:val="000000"/>
          <w:sz w:val="29"/>
          <w:szCs w:val="29"/>
        </w:rPr>
      </w:pPr>
    </w:p>
    <w:p w:rsidR="00CF1A9F" w:rsidRDefault="00CF1A9F">
      <w:pPr>
        <w:adjustRightInd/>
        <w:snapToGrid/>
        <w:spacing w:afterLines="0" w:line="348" w:lineRule="auto"/>
        <w:rPr>
          <w:rFonts w:ascii="黑体" w:eastAsia="黑体" w:hAnsi="黑体" w:cs="宋体"/>
          <w:color w:val="000000"/>
          <w:sz w:val="29"/>
          <w:szCs w:val="29"/>
        </w:rPr>
      </w:pPr>
    </w:p>
    <w:p w:rsidR="00CF1A9F" w:rsidRDefault="00CF1A9F">
      <w:pPr>
        <w:adjustRightInd/>
        <w:snapToGrid/>
        <w:spacing w:afterLines="0" w:line="348" w:lineRule="auto"/>
        <w:rPr>
          <w:rFonts w:ascii="黑体" w:eastAsia="黑体" w:hAnsi="黑体" w:cs="宋体"/>
          <w:color w:val="000000"/>
          <w:sz w:val="29"/>
          <w:szCs w:val="29"/>
        </w:rPr>
      </w:pPr>
    </w:p>
    <w:p w:rsidR="00CF1A9F" w:rsidRDefault="00CF1A9F">
      <w:pPr>
        <w:adjustRightInd/>
        <w:snapToGrid/>
        <w:spacing w:afterLines="0" w:line="348" w:lineRule="auto"/>
        <w:rPr>
          <w:rFonts w:ascii="黑体" w:eastAsia="黑体" w:hAnsi="黑体" w:cs="宋体"/>
          <w:color w:val="000000"/>
          <w:sz w:val="29"/>
          <w:szCs w:val="29"/>
        </w:rPr>
      </w:pPr>
    </w:p>
    <w:p w:rsidR="00CF1A9F" w:rsidRDefault="00CF1A9F">
      <w:pPr>
        <w:adjustRightInd/>
        <w:snapToGrid/>
        <w:spacing w:afterLines="0" w:line="348" w:lineRule="auto"/>
        <w:rPr>
          <w:rFonts w:ascii="黑体" w:eastAsia="黑体" w:hAnsi="黑体" w:cs="宋体"/>
          <w:color w:val="000000"/>
          <w:sz w:val="29"/>
          <w:szCs w:val="29"/>
        </w:rPr>
      </w:pPr>
    </w:p>
    <w:p w:rsidR="00CF1A9F" w:rsidRDefault="00CF1A9F">
      <w:pPr>
        <w:adjustRightInd/>
        <w:snapToGrid/>
        <w:spacing w:afterLines="0" w:line="348" w:lineRule="auto"/>
        <w:rPr>
          <w:rFonts w:ascii="黑体" w:eastAsia="黑体" w:hAnsi="黑体" w:cs="宋体"/>
          <w:color w:val="000000"/>
          <w:sz w:val="29"/>
          <w:szCs w:val="29"/>
        </w:rPr>
      </w:pPr>
    </w:p>
    <w:p w:rsidR="00CF1A9F" w:rsidRDefault="00CF1A9F">
      <w:pPr>
        <w:adjustRightInd/>
        <w:snapToGrid/>
        <w:spacing w:afterLines="0" w:line="348" w:lineRule="auto"/>
        <w:rPr>
          <w:rFonts w:ascii="黑体" w:eastAsia="黑体" w:hAnsi="黑体" w:cs="宋体"/>
          <w:color w:val="000000"/>
          <w:sz w:val="29"/>
          <w:szCs w:val="29"/>
        </w:rPr>
      </w:pPr>
    </w:p>
    <w:p w:rsidR="00CF1A9F" w:rsidRDefault="00CF1A9F">
      <w:pPr>
        <w:adjustRightInd/>
        <w:snapToGrid/>
        <w:spacing w:afterLines="0" w:line="348" w:lineRule="auto"/>
        <w:rPr>
          <w:rFonts w:ascii="黑体" w:eastAsia="黑体" w:hAnsi="黑体" w:cs="宋体"/>
          <w:color w:val="000000"/>
          <w:sz w:val="29"/>
          <w:szCs w:val="29"/>
        </w:rPr>
      </w:pPr>
    </w:p>
    <w:tbl>
      <w:tblPr>
        <w:tblW w:w="9177" w:type="dxa"/>
        <w:tblCellSpacing w:w="0" w:type="dxa"/>
        <w:tblLayout w:type="fixed"/>
        <w:tblCellMar>
          <w:left w:w="0" w:type="dxa"/>
          <w:right w:w="0" w:type="dxa"/>
        </w:tblCellMar>
        <w:tblLook w:val="04A0"/>
      </w:tblPr>
      <w:tblGrid>
        <w:gridCol w:w="956"/>
        <w:gridCol w:w="3260"/>
        <w:gridCol w:w="1134"/>
        <w:gridCol w:w="3827"/>
      </w:tblGrid>
      <w:tr w:rsidR="00890DF6">
        <w:trPr>
          <w:tblCellSpacing w:w="0" w:type="dxa"/>
        </w:trPr>
        <w:tc>
          <w:tcPr>
            <w:tcW w:w="956" w:type="dxa"/>
            <w:tcBorders>
              <w:top w:val="single" w:sz="6" w:space="0" w:color="auto"/>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主</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编</w:t>
            </w:r>
          </w:p>
        </w:tc>
        <w:tc>
          <w:tcPr>
            <w:tcW w:w="3260" w:type="dxa"/>
            <w:tcBorders>
              <w:top w:val="single" w:sz="6" w:space="0" w:color="auto"/>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聂天保</w:t>
            </w:r>
          </w:p>
        </w:tc>
        <w:tc>
          <w:tcPr>
            <w:tcW w:w="1134" w:type="dxa"/>
            <w:tcBorders>
              <w:top w:val="single" w:sz="6" w:space="0" w:color="auto"/>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地</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址</w:t>
            </w:r>
          </w:p>
        </w:tc>
        <w:tc>
          <w:tcPr>
            <w:tcW w:w="3827" w:type="dxa"/>
            <w:tcBorders>
              <w:top w:val="single" w:sz="6" w:space="0" w:color="auto"/>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武汉轻工大学常青校区行政楼</w:t>
            </w:r>
            <w:r>
              <w:rPr>
                <w:rFonts w:ascii="Times New Roman" w:eastAsia="宋体" w:hAnsi="Times New Roman" w:cs="Times New Roman"/>
                <w:color w:val="000000"/>
                <w:sz w:val="21"/>
                <w:szCs w:val="21"/>
              </w:rPr>
              <w:t>620</w:t>
            </w:r>
          </w:p>
        </w:tc>
      </w:tr>
      <w:tr w:rsidR="00890DF6">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副主编</w:t>
            </w:r>
          </w:p>
        </w:tc>
        <w:tc>
          <w:tcPr>
            <w:tcW w:w="3260"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吴德明</w:t>
            </w:r>
          </w:p>
        </w:tc>
        <w:tc>
          <w:tcPr>
            <w:tcW w:w="1134"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890DF6">
            <w:pPr>
              <w:adjustRightInd/>
              <w:snapToGrid/>
              <w:spacing w:afterLines="0"/>
              <w:jc w:val="distribute"/>
              <w:rPr>
                <w:rFonts w:ascii="宋体" w:eastAsia="宋体" w:hAnsi="宋体" w:cs="宋体"/>
                <w:color w:val="000000"/>
                <w:sz w:val="21"/>
                <w:szCs w:val="21"/>
              </w:rPr>
            </w:pPr>
          </w:p>
        </w:tc>
        <w:tc>
          <w:tcPr>
            <w:tcW w:w="3827"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890DF6">
            <w:pPr>
              <w:adjustRightInd/>
              <w:snapToGrid/>
              <w:spacing w:afterLines="0" w:line="300" w:lineRule="auto"/>
              <w:rPr>
                <w:rFonts w:ascii="宋体" w:eastAsia="宋体" w:hAnsi="宋体" w:cs="宋体"/>
                <w:color w:val="000000"/>
                <w:sz w:val="21"/>
                <w:szCs w:val="21"/>
              </w:rPr>
            </w:pPr>
          </w:p>
        </w:tc>
      </w:tr>
      <w:tr w:rsidR="00890DF6">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编</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辑</w:t>
            </w:r>
          </w:p>
        </w:tc>
        <w:tc>
          <w:tcPr>
            <w:tcW w:w="3260"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官</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璐</w:t>
            </w:r>
          </w:p>
        </w:tc>
        <w:tc>
          <w:tcPr>
            <w:tcW w:w="1134"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邮</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编</w:t>
            </w:r>
          </w:p>
        </w:tc>
        <w:tc>
          <w:tcPr>
            <w:tcW w:w="3827"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Times New Roman" w:eastAsia="宋体" w:hAnsi="Times New Roman" w:cs="Times New Roman"/>
                <w:color w:val="000000"/>
                <w:sz w:val="21"/>
                <w:szCs w:val="21"/>
              </w:rPr>
              <w:t>430023</w:t>
            </w:r>
          </w:p>
        </w:tc>
      </w:tr>
      <w:tr w:rsidR="00890DF6">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890DF6">
            <w:pPr>
              <w:adjustRightInd/>
              <w:snapToGrid/>
              <w:spacing w:afterLines="0"/>
              <w:jc w:val="distribute"/>
              <w:rPr>
                <w:rFonts w:ascii="宋体" w:eastAsia="宋体" w:hAnsi="宋体" w:cs="宋体"/>
                <w:color w:val="000000"/>
                <w:sz w:val="21"/>
                <w:szCs w:val="21"/>
              </w:rPr>
            </w:pPr>
          </w:p>
        </w:tc>
        <w:tc>
          <w:tcPr>
            <w:tcW w:w="3260"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李笃珊</w:t>
            </w:r>
          </w:p>
        </w:tc>
        <w:tc>
          <w:tcPr>
            <w:tcW w:w="1134"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投稿信箱</w:t>
            </w:r>
          </w:p>
        </w:tc>
        <w:tc>
          <w:tcPr>
            <w:tcW w:w="3827"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Times New Roman" w:eastAsia="宋体" w:hAnsi="Times New Roman" w:cs="Times New Roman"/>
                <w:color w:val="000000"/>
                <w:sz w:val="21"/>
                <w:szCs w:val="21"/>
              </w:rPr>
              <w:t>fgc@whpu.edu.cn</w:t>
            </w:r>
          </w:p>
        </w:tc>
      </w:tr>
      <w:tr w:rsidR="00890DF6">
        <w:trPr>
          <w:tblCellSpacing w:w="0" w:type="dxa"/>
        </w:trPr>
        <w:tc>
          <w:tcPr>
            <w:tcW w:w="956" w:type="dxa"/>
            <w:tcBorders>
              <w:top w:val="nil"/>
              <w:left w:val="nil"/>
              <w:bottom w:val="single" w:sz="6" w:space="0" w:color="auto"/>
              <w:right w:val="nil"/>
            </w:tcBorders>
            <w:shd w:val="clear" w:color="auto" w:fill="auto"/>
            <w:tcMar>
              <w:top w:w="0" w:type="dxa"/>
              <w:left w:w="105" w:type="dxa"/>
              <w:bottom w:w="0" w:type="dxa"/>
              <w:right w:w="105" w:type="dxa"/>
            </w:tcMar>
            <w:vAlign w:val="center"/>
          </w:tcPr>
          <w:p w:rsidR="00890DF6" w:rsidRDefault="00890DF6">
            <w:pPr>
              <w:adjustRightInd/>
              <w:snapToGrid/>
              <w:spacing w:afterLines="0"/>
              <w:jc w:val="distribute"/>
              <w:rPr>
                <w:rFonts w:ascii="宋体" w:eastAsia="宋体" w:hAnsi="宋体" w:cs="宋体"/>
                <w:color w:val="000000"/>
                <w:sz w:val="21"/>
                <w:szCs w:val="21"/>
              </w:rPr>
            </w:pPr>
          </w:p>
        </w:tc>
        <w:tc>
          <w:tcPr>
            <w:tcW w:w="3260" w:type="dxa"/>
            <w:tcBorders>
              <w:top w:val="nil"/>
              <w:left w:val="nil"/>
              <w:bottom w:val="single" w:sz="6" w:space="0" w:color="auto"/>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张凌云</w:t>
            </w:r>
          </w:p>
        </w:tc>
        <w:tc>
          <w:tcPr>
            <w:tcW w:w="1134" w:type="dxa"/>
            <w:tcBorders>
              <w:top w:val="nil"/>
              <w:left w:val="nil"/>
              <w:bottom w:val="single" w:sz="6" w:space="0" w:color="auto"/>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电</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话</w:t>
            </w:r>
          </w:p>
        </w:tc>
        <w:tc>
          <w:tcPr>
            <w:tcW w:w="3827" w:type="dxa"/>
            <w:tcBorders>
              <w:top w:val="nil"/>
              <w:left w:val="nil"/>
              <w:bottom w:val="single" w:sz="6" w:space="0" w:color="auto"/>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Times New Roman" w:eastAsia="宋体" w:hAnsi="Times New Roman" w:cs="Times New Roman"/>
                <w:color w:val="000000"/>
                <w:sz w:val="21"/>
                <w:szCs w:val="21"/>
              </w:rPr>
              <w:t>83927097</w:t>
            </w:r>
          </w:p>
        </w:tc>
      </w:tr>
    </w:tbl>
    <w:p w:rsidR="00890DF6" w:rsidRDefault="00890DF6">
      <w:pPr>
        <w:spacing w:afterLines="0" w:line="24" w:lineRule="auto"/>
        <w:rPr>
          <w:sz w:val="10"/>
          <w:szCs w:val="10"/>
        </w:rPr>
      </w:pPr>
    </w:p>
    <w:sectPr w:rsidR="00890DF6" w:rsidSect="00890DF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0FD" w:rsidRDefault="004B10FD" w:rsidP="00E3217D">
      <w:pPr>
        <w:spacing w:after="240"/>
      </w:pPr>
      <w:r>
        <w:separator/>
      </w:r>
    </w:p>
  </w:endnote>
  <w:endnote w:type="continuationSeparator" w:id="0">
    <w:p w:rsidR="004B10FD" w:rsidRDefault="004B10FD" w:rsidP="00E3217D">
      <w:pPr>
        <w:spacing w:after="2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方正粗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6" w:rsidRDefault="00890DF6">
    <w:pPr>
      <w:pStyle w:val="a4"/>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38673"/>
    </w:sdtPr>
    <w:sdtEndPr>
      <w:rPr>
        <w:rFonts w:ascii="Times New Roman" w:hAnsi="Times New Roman" w:cs="Times New Roman"/>
      </w:rPr>
    </w:sdtEndPr>
    <w:sdtContent>
      <w:p w:rsidR="00890DF6" w:rsidRDefault="009143FA">
        <w:pPr>
          <w:pStyle w:val="a4"/>
          <w:spacing w:after="240"/>
          <w:jc w:val="center"/>
          <w:rPr>
            <w:rFonts w:ascii="Times New Roman" w:hAnsi="Times New Roman" w:cs="Times New Roman"/>
          </w:rPr>
        </w:pPr>
        <w:r>
          <w:rPr>
            <w:rFonts w:ascii="Times New Roman" w:hAnsi="Times New Roman" w:cs="Times New Roman"/>
          </w:rPr>
          <w:fldChar w:fldCharType="begin"/>
        </w:r>
        <w:r w:rsidR="00AF5955">
          <w:rPr>
            <w:rFonts w:ascii="Times New Roman" w:hAnsi="Times New Roman" w:cs="Times New Roman"/>
          </w:rPr>
          <w:instrText>PAGE   \* MERGEFORMAT</w:instrText>
        </w:r>
        <w:r>
          <w:rPr>
            <w:rFonts w:ascii="Times New Roman" w:hAnsi="Times New Roman" w:cs="Times New Roman"/>
          </w:rPr>
          <w:fldChar w:fldCharType="separate"/>
        </w:r>
        <w:r w:rsidR="0004694B" w:rsidRPr="0004694B">
          <w:rPr>
            <w:rFonts w:ascii="Times New Roman" w:hAnsi="Times New Roman" w:cs="Times New Roman"/>
            <w:noProof/>
            <w:lang w:val="zh-CN"/>
          </w:rPr>
          <w:t>3</w:t>
        </w:r>
        <w:r>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6" w:rsidRDefault="00890DF6">
    <w:pPr>
      <w:pStyle w:val="a4"/>
      <w:spacing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0FD" w:rsidRDefault="004B10FD" w:rsidP="00E3217D">
      <w:pPr>
        <w:spacing w:after="240"/>
      </w:pPr>
      <w:r>
        <w:separator/>
      </w:r>
    </w:p>
  </w:footnote>
  <w:footnote w:type="continuationSeparator" w:id="0">
    <w:p w:rsidR="004B10FD" w:rsidRDefault="004B10FD" w:rsidP="00E3217D">
      <w:pPr>
        <w:spacing w:after="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6" w:rsidRDefault="00890DF6">
    <w:pPr>
      <w:pStyle w:val="a5"/>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6" w:rsidRDefault="00890DF6">
    <w:pPr>
      <w:pStyle w:val="a5"/>
      <w:pBdr>
        <w:bottom w:val="none" w:sz="0" w:space="0" w:color="auto"/>
      </w:pBdr>
      <w:spacing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6" w:rsidRDefault="00890DF6">
    <w:pPr>
      <w:pStyle w:val="a5"/>
      <w:spacing w:after="2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355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82288"/>
    <w:rsid w:val="000049AF"/>
    <w:rsid w:val="000265B6"/>
    <w:rsid w:val="00033848"/>
    <w:rsid w:val="00034577"/>
    <w:rsid w:val="00036F8B"/>
    <w:rsid w:val="00042146"/>
    <w:rsid w:val="0004694B"/>
    <w:rsid w:val="00047F28"/>
    <w:rsid w:val="00060458"/>
    <w:rsid w:val="0007318A"/>
    <w:rsid w:val="000C4BF6"/>
    <w:rsid w:val="000D7F45"/>
    <w:rsid w:val="001031CF"/>
    <w:rsid w:val="00125B73"/>
    <w:rsid w:val="00127531"/>
    <w:rsid w:val="00143FE5"/>
    <w:rsid w:val="00146E34"/>
    <w:rsid w:val="0016748B"/>
    <w:rsid w:val="0017000D"/>
    <w:rsid w:val="00187DC6"/>
    <w:rsid w:val="00191D38"/>
    <w:rsid w:val="00194EE6"/>
    <w:rsid w:val="001A25B6"/>
    <w:rsid w:val="001A78DC"/>
    <w:rsid w:val="001B1A78"/>
    <w:rsid w:val="001B5CDA"/>
    <w:rsid w:val="001D65D0"/>
    <w:rsid w:val="001E319A"/>
    <w:rsid w:val="001E4055"/>
    <w:rsid w:val="001F4FEE"/>
    <w:rsid w:val="00203F1E"/>
    <w:rsid w:val="00212B76"/>
    <w:rsid w:val="00213B44"/>
    <w:rsid w:val="002320A0"/>
    <w:rsid w:val="002A63EF"/>
    <w:rsid w:val="002B777C"/>
    <w:rsid w:val="002C3E8D"/>
    <w:rsid w:val="002D5EE1"/>
    <w:rsid w:val="00300F7D"/>
    <w:rsid w:val="00304D27"/>
    <w:rsid w:val="00316B0E"/>
    <w:rsid w:val="0033645F"/>
    <w:rsid w:val="00347961"/>
    <w:rsid w:val="003564F2"/>
    <w:rsid w:val="003713CD"/>
    <w:rsid w:val="00380056"/>
    <w:rsid w:val="00383921"/>
    <w:rsid w:val="003A01B3"/>
    <w:rsid w:val="003A4BB8"/>
    <w:rsid w:val="003B4546"/>
    <w:rsid w:val="003C5A88"/>
    <w:rsid w:val="003D13B2"/>
    <w:rsid w:val="003E36F2"/>
    <w:rsid w:val="003F19A2"/>
    <w:rsid w:val="0041353A"/>
    <w:rsid w:val="00413E37"/>
    <w:rsid w:val="00417B59"/>
    <w:rsid w:val="004237CC"/>
    <w:rsid w:val="0044665E"/>
    <w:rsid w:val="00455841"/>
    <w:rsid w:val="00493C42"/>
    <w:rsid w:val="004969C5"/>
    <w:rsid w:val="00496FAB"/>
    <w:rsid w:val="004A5797"/>
    <w:rsid w:val="004A76FF"/>
    <w:rsid w:val="004B10FD"/>
    <w:rsid w:val="004B1DCC"/>
    <w:rsid w:val="004B5FA5"/>
    <w:rsid w:val="004C3AEA"/>
    <w:rsid w:val="004E71AE"/>
    <w:rsid w:val="004F5047"/>
    <w:rsid w:val="00523AD8"/>
    <w:rsid w:val="0052521B"/>
    <w:rsid w:val="00526AB3"/>
    <w:rsid w:val="00527693"/>
    <w:rsid w:val="005315B8"/>
    <w:rsid w:val="00533948"/>
    <w:rsid w:val="00543B55"/>
    <w:rsid w:val="00545B12"/>
    <w:rsid w:val="00546539"/>
    <w:rsid w:val="00556579"/>
    <w:rsid w:val="00566137"/>
    <w:rsid w:val="005840C6"/>
    <w:rsid w:val="00593BF8"/>
    <w:rsid w:val="005B50B4"/>
    <w:rsid w:val="005B7938"/>
    <w:rsid w:val="005C51FA"/>
    <w:rsid w:val="005C652D"/>
    <w:rsid w:val="005E5B39"/>
    <w:rsid w:val="005F55D1"/>
    <w:rsid w:val="006175FE"/>
    <w:rsid w:val="00621336"/>
    <w:rsid w:val="00621596"/>
    <w:rsid w:val="00622194"/>
    <w:rsid w:val="0062461E"/>
    <w:rsid w:val="0064674A"/>
    <w:rsid w:val="00664C2B"/>
    <w:rsid w:val="00667AFF"/>
    <w:rsid w:val="00672B23"/>
    <w:rsid w:val="00675524"/>
    <w:rsid w:val="0069302D"/>
    <w:rsid w:val="00695A8A"/>
    <w:rsid w:val="006E4C0A"/>
    <w:rsid w:val="006E76EE"/>
    <w:rsid w:val="00707C73"/>
    <w:rsid w:val="00731F79"/>
    <w:rsid w:val="007344CA"/>
    <w:rsid w:val="00763EEB"/>
    <w:rsid w:val="007676EB"/>
    <w:rsid w:val="007756D6"/>
    <w:rsid w:val="00784D07"/>
    <w:rsid w:val="007A3B9D"/>
    <w:rsid w:val="007A5747"/>
    <w:rsid w:val="007B00F5"/>
    <w:rsid w:val="007B0314"/>
    <w:rsid w:val="007B3ACC"/>
    <w:rsid w:val="007B7176"/>
    <w:rsid w:val="007C0D37"/>
    <w:rsid w:val="007C11FC"/>
    <w:rsid w:val="007E2921"/>
    <w:rsid w:val="007F2FD4"/>
    <w:rsid w:val="00804DF9"/>
    <w:rsid w:val="008153E7"/>
    <w:rsid w:val="008672B8"/>
    <w:rsid w:val="00876026"/>
    <w:rsid w:val="00884C6E"/>
    <w:rsid w:val="00890DF6"/>
    <w:rsid w:val="0089256A"/>
    <w:rsid w:val="008C6F6C"/>
    <w:rsid w:val="008D5944"/>
    <w:rsid w:val="008D73B9"/>
    <w:rsid w:val="008F3368"/>
    <w:rsid w:val="00904604"/>
    <w:rsid w:val="009143FA"/>
    <w:rsid w:val="00924B89"/>
    <w:rsid w:val="009468B0"/>
    <w:rsid w:val="009810CD"/>
    <w:rsid w:val="0098559E"/>
    <w:rsid w:val="00995475"/>
    <w:rsid w:val="009969CA"/>
    <w:rsid w:val="009A789C"/>
    <w:rsid w:val="009B09FC"/>
    <w:rsid w:val="009B3318"/>
    <w:rsid w:val="009B49BA"/>
    <w:rsid w:val="009D5FF9"/>
    <w:rsid w:val="00A006EA"/>
    <w:rsid w:val="00A03C03"/>
    <w:rsid w:val="00A04E0D"/>
    <w:rsid w:val="00A063CC"/>
    <w:rsid w:val="00A107BC"/>
    <w:rsid w:val="00A126B6"/>
    <w:rsid w:val="00A24E74"/>
    <w:rsid w:val="00A34A6E"/>
    <w:rsid w:val="00A51364"/>
    <w:rsid w:val="00A61432"/>
    <w:rsid w:val="00A65598"/>
    <w:rsid w:val="00A722F7"/>
    <w:rsid w:val="00A96A7B"/>
    <w:rsid w:val="00AB4385"/>
    <w:rsid w:val="00AF5955"/>
    <w:rsid w:val="00B106E2"/>
    <w:rsid w:val="00B20733"/>
    <w:rsid w:val="00B21B54"/>
    <w:rsid w:val="00B26906"/>
    <w:rsid w:val="00B47ED1"/>
    <w:rsid w:val="00B52EC3"/>
    <w:rsid w:val="00B55142"/>
    <w:rsid w:val="00B7153C"/>
    <w:rsid w:val="00B74D6D"/>
    <w:rsid w:val="00B76500"/>
    <w:rsid w:val="00B76D28"/>
    <w:rsid w:val="00B81D63"/>
    <w:rsid w:val="00B83EBF"/>
    <w:rsid w:val="00B8559B"/>
    <w:rsid w:val="00B91D8C"/>
    <w:rsid w:val="00BA11CB"/>
    <w:rsid w:val="00BE3AB0"/>
    <w:rsid w:val="00BE5289"/>
    <w:rsid w:val="00BF4B66"/>
    <w:rsid w:val="00C03653"/>
    <w:rsid w:val="00C77F25"/>
    <w:rsid w:val="00C85093"/>
    <w:rsid w:val="00CB1F32"/>
    <w:rsid w:val="00CB3914"/>
    <w:rsid w:val="00CB5023"/>
    <w:rsid w:val="00CE1419"/>
    <w:rsid w:val="00CF1A9F"/>
    <w:rsid w:val="00CF31A1"/>
    <w:rsid w:val="00CF55DA"/>
    <w:rsid w:val="00D16004"/>
    <w:rsid w:val="00D17B67"/>
    <w:rsid w:val="00D2144D"/>
    <w:rsid w:val="00D36056"/>
    <w:rsid w:val="00D408ED"/>
    <w:rsid w:val="00D457F7"/>
    <w:rsid w:val="00D5156E"/>
    <w:rsid w:val="00D76BF7"/>
    <w:rsid w:val="00D76FA5"/>
    <w:rsid w:val="00D82288"/>
    <w:rsid w:val="00DA6284"/>
    <w:rsid w:val="00DB637F"/>
    <w:rsid w:val="00DD4826"/>
    <w:rsid w:val="00DD5E7A"/>
    <w:rsid w:val="00DF579E"/>
    <w:rsid w:val="00DF623F"/>
    <w:rsid w:val="00E06F7C"/>
    <w:rsid w:val="00E17E75"/>
    <w:rsid w:val="00E22BFE"/>
    <w:rsid w:val="00E30EE6"/>
    <w:rsid w:val="00E3217D"/>
    <w:rsid w:val="00E45706"/>
    <w:rsid w:val="00E51B14"/>
    <w:rsid w:val="00E565C8"/>
    <w:rsid w:val="00E577B1"/>
    <w:rsid w:val="00E57F55"/>
    <w:rsid w:val="00E6024D"/>
    <w:rsid w:val="00E733F8"/>
    <w:rsid w:val="00E74035"/>
    <w:rsid w:val="00E741D2"/>
    <w:rsid w:val="00E86136"/>
    <w:rsid w:val="00ED1907"/>
    <w:rsid w:val="00ED2F4D"/>
    <w:rsid w:val="00ED61C6"/>
    <w:rsid w:val="00EE7ECF"/>
    <w:rsid w:val="00F216EE"/>
    <w:rsid w:val="00F34DED"/>
    <w:rsid w:val="00F42D6A"/>
    <w:rsid w:val="00F46590"/>
    <w:rsid w:val="00F67821"/>
    <w:rsid w:val="00F7013A"/>
    <w:rsid w:val="00F7120A"/>
    <w:rsid w:val="00F80F63"/>
    <w:rsid w:val="00FA084F"/>
    <w:rsid w:val="00FA71D0"/>
    <w:rsid w:val="00FE21ED"/>
    <w:rsid w:val="00FE4032"/>
    <w:rsid w:val="00FF5065"/>
    <w:rsid w:val="02D32035"/>
    <w:rsid w:val="30661B70"/>
    <w:rsid w:val="30BC200D"/>
    <w:rsid w:val="33F9628F"/>
    <w:rsid w:val="4E996557"/>
    <w:rsid w:val="5A2023DA"/>
    <w:rsid w:val="6BDB1966"/>
    <w:rsid w:val="70F12A41"/>
    <w:rsid w:val="7C203E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DF6"/>
    <w:pPr>
      <w:adjustRightInd w:val="0"/>
      <w:snapToGrid w:val="0"/>
      <w:spacing w:afterLines="100"/>
    </w:pPr>
    <w:rPr>
      <w:rFonts w:ascii="Tahoma" w:eastAsia="微软雅黑" w:hAnsi="Tahoma" w:cstheme="minorBidi"/>
      <w:sz w:val="22"/>
      <w:szCs w:val="22"/>
    </w:rPr>
  </w:style>
  <w:style w:type="paragraph" w:styleId="1">
    <w:name w:val="heading 1"/>
    <w:basedOn w:val="a"/>
    <w:next w:val="a"/>
    <w:link w:val="1Char"/>
    <w:uiPriority w:val="9"/>
    <w:qFormat/>
    <w:rsid w:val="00890DF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90DF6"/>
    <w:pPr>
      <w:keepNext/>
      <w:keepLines/>
      <w:spacing w:before="260" w:afterLines="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rsid w:val="00890DF6"/>
    <w:pPr>
      <w:spacing w:beforeAutospacing="1"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0DF6"/>
    <w:rPr>
      <w:sz w:val="18"/>
      <w:szCs w:val="18"/>
    </w:rPr>
  </w:style>
  <w:style w:type="paragraph" w:styleId="a4">
    <w:name w:val="footer"/>
    <w:basedOn w:val="a"/>
    <w:link w:val="Char0"/>
    <w:uiPriority w:val="99"/>
    <w:unhideWhenUsed/>
    <w:rsid w:val="00890DF6"/>
    <w:pPr>
      <w:tabs>
        <w:tab w:val="center" w:pos="4153"/>
        <w:tab w:val="right" w:pos="8306"/>
      </w:tabs>
    </w:pPr>
    <w:rPr>
      <w:sz w:val="18"/>
      <w:szCs w:val="18"/>
    </w:rPr>
  </w:style>
  <w:style w:type="paragraph" w:styleId="a5">
    <w:name w:val="header"/>
    <w:basedOn w:val="a"/>
    <w:link w:val="Char1"/>
    <w:uiPriority w:val="99"/>
    <w:unhideWhenUsed/>
    <w:qFormat/>
    <w:rsid w:val="00890DF6"/>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890DF6"/>
    <w:pPr>
      <w:adjustRightInd/>
      <w:snapToGrid/>
      <w:spacing w:before="100" w:beforeAutospacing="1" w:afterAutospacing="1"/>
    </w:pPr>
    <w:rPr>
      <w:rFonts w:ascii="宋体" w:eastAsia="宋体" w:hAnsi="宋体" w:cs="宋体"/>
      <w:sz w:val="24"/>
      <w:szCs w:val="24"/>
    </w:rPr>
  </w:style>
  <w:style w:type="character" w:styleId="a7">
    <w:name w:val="Strong"/>
    <w:basedOn w:val="a0"/>
    <w:uiPriority w:val="22"/>
    <w:qFormat/>
    <w:rsid w:val="00890DF6"/>
    <w:rPr>
      <w:b/>
    </w:rPr>
  </w:style>
  <w:style w:type="character" w:styleId="a8">
    <w:name w:val="FollowedHyperlink"/>
    <w:basedOn w:val="a0"/>
    <w:uiPriority w:val="99"/>
    <w:semiHidden/>
    <w:unhideWhenUsed/>
    <w:qFormat/>
    <w:rsid w:val="00890DF6"/>
    <w:rPr>
      <w:color w:val="800080"/>
      <w:u w:val="none"/>
    </w:rPr>
  </w:style>
  <w:style w:type="character" w:styleId="a9">
    <w:name w:val="Emphasis"/>
    <w:basedOn w:val="a0"/>
    <w:uiPriority w:val="20"/>
    <w:qFormat/>
    <w:rsid w:val="00890DF6"/>
  </w:style>
  <w:style w:type="character" w:styleId="aa">
    <w:name w:val="Hyperlink"/>
    <w:basedOn w:val="a0"/>
    <w:uiPriority w:val="99"/>
    <w:unhideWhenUsed/>
    <w:qFormat/>
    <w:rsid w:val="00890DF6"/>
    <w:rPr>
      <w:color w:val="0000FF"/>
      <w:u w:val="none"/>
    </w:rPr>
  </w:style>
  <w:style w:type="character" w:customStyle="1" w:styleId="Char1">
    <w:name w:val="页眉 Char"/>
    <w:basedOn w:val="a0"/>
    <w:link w:val="a5"/>
    <w:uiPriority w:val="99"/>
    <w:qFormat/>
    <w:rsid w:val="00890DF6"/>
    <w:rPr>
      <w:rFonts w:ascii="Tahoma" w:eastAsia="微软雅黑" w:hAnsi="Tahoma"/>
      <w:kern w:val="0"/>
      <w:sz w:val="18"/>
      <w:szCs w:val="18"/>
    </w:rPr>
  </w:style>
  <w:style w:type="character" w:customStyle="1" w:styleId="Char0">
    <w:name w:val="页脚 Char"/>
    <w:basedOn w:val="a0"/>
    <w:link w:val="a4"/>
    <w:uiPriority w:val="99"/>
    <w:qFormat/>
    <w:rsid w:val="00890DF6"/>
    <w:rPr>
      <w:rFonts w:ascii="Tahoma" w:eastAsia="微软雅黑" w:hAnsi="Tahoma"/>
      <w:kern w:val="0"/>
      <w:sz w:val="18"/>
      <w:szCs w:val="18"/>
    </w:rPr>
  </w:style>
  <w:style w:type="character" w:customStyle="1" w:styleId="1Char">
    <w:name w:val="标题 1 Char"/>
    <w:basedOn w:val="a0"/>
    <w:link w:val="1"/>
    <w:uiPriority w:val="9"/>
    <w:rsid w:val="00890DF6"/>
    <w:rPr>
      <w:rFonts w:ascii="Tahoma" w:eastAsia="微软雅黑" w:hAnsi="Tahoma"/>
      <w:b/>
      <w:bCs/>
      <w:kern w:val="44"/>
      <w:sz w:val="44"/>
      <w:szCs w:val="44"/>
    </w:rPr>
  </w:style>
  <w:style w:type="character" w:customStyle="1" w:styleId="2Char">
    <w:name w:val="标题 2 Char"/>
    <w:basedOn w:val="a0"/>
    <w:link w:val="2"/>
    <w:uiPriority w:val="9"/>
    <w:semiHidden/>
    <w:qFormat/>
    <w:rsid w:val="00890DF6"/>
    <w:rPr>
      <w:rFonts w:asciiTheme="majorHAnsi" w:eastAsiaTheme="majorEastAsia" w:hAnsiTheme="majorHAnsi" w:cstheme="majorBidi"/>
      <w:b/>
      <w:bCs/>
      <w:kern w:val="0"/>
      <w:sz w:val="32"/>
      <w:szCs w:val="32"/>
    </w:rPr>
  </w:style>
  <w:style w:type="character" w:customStyle="1" w:styleId="Char">
    <w:name w:val="批注框文本 Char"/>
    <w:basedOn w:val="a0"/>
    <w:link w:val="a3"/>
    <w:uiPriority w:val="99"/>
    <w:semiHidden/>
    <w:qFormat/>
    <w:rsid w:val="00890DF6"/>
    <w:rPr>
      <w:rFonts w:ascii="Tahoma" w:eastAsia="微软雅黑" w:hAnsi="Tahoma"/>
      <w:kern w:val="0"/>
      <w:sz w:val="18"/>
      <w:szCs w:val="18"/>
    </w:rPr>
  </w:style>
  <w:style w:type="character" w:customStyle="1" w:styleId="hover14">
    <w:name w:val="hover14"/>
    <w:basedOn w:val="a0"/>
    <w:rsid w:val="00890DF6"/>
    <w:rPr>
      <w:shd w:val="clear" w:color="auto" w:fill="1A6C46"/>
    </w:rPr>
  </w:style>
  <w:style w:type="character" w:customStyle="1" w:styleId="hover15">
    <w:name w:val="hover15"/>
    <w:basedOn w:val="a0"/>
    <w:rsid w:val="00890DF6"/>
  </w:style>
  <w:style w:type="character" w:customStyle="1" w:styleId="hover16">
    <w:name w:val="hover16"/>
    <w:basedOn w:val="a0"/>
    <w:rsid w:val="00890DF6"/>
  </w:style>
  <w:style w:type="character" w:customStyle="1" w:styleId="hover17">
    <w:name w:val="hover17"/>
    <w:basedOn w:val="a0"/>
    <w:rsid w:val="00890DF6"/>
    <w:rPr>
      <w:shd w:val="clear" w:color="auto" w:fill="1E6F46"/>
    </w:rPr>
  </w:style>
  <w:style w:type="paragraph" w:customStyle="1" w:styleId="Style23">
    <w:name w:val="_Style 23"/>
    <w:basedOn w:val="a"/>
    <w:next w:val="a"/>
    <w:rsid w:val="00890DF6"/>
    <w:pPr>
      <w:pBdr>
        <w:bottom w:val="single" w:sz="6" w:space="1" w:color="auto"/>
      </w:pBdr>
      <w:jc w:val="center"/>
    </w:pPr>
    <w:rPr>
      <w:rFonts w:ascii="Arial" w:eastAsia="宋体"/>
      <w:vanish/>
      <w:sz w:val="16"/>
    </w:rPr>
  </w:style>
  <w:style w:type="paragraph" w:customStyle="1" w:styleId="Style24">
    <w:name w:val="_Style 24"/>
    <w:basedOn w:val="a"/>
    <w:next w:val="a"/>
    <w:rsid w:val="00890DF6"/>
    <w:pPr>
      <w:pBdr>
        <w:top w:val="single" w:sz="6" w:space="1" w:color="auto"/>
      </w:pBdr>
      <w:jc w:val="center"/>
    </w:pPr>
    <w:rPr>
      <w:rFonts w:ascii="Arial" w:eastAsia="宋体"/>
      <w:vanish/>
      <w:sz w:val="16"/>
    </w:rPr>
  </w:style>
  <w:style w:type="character" w:customStyle="1" w:styleId="hover">
    <w:name w:val="hover"/>
    <w:basedOn w:val="a0"/>
    <w:rsid w:val="00890DF6"/>
    <w:rPr>
      <w:shd w:val="clear" w:color="auto" w:fill="1E6F46"/>
    </w:rPr>
  </w:style>
  <w:style w:type="character" w:customStyle="1" w:styleId="hover1">
    <w:name w:val="hover1"/>
    <w:basedOn w:val="a0"/>
    <w:rsid w:val="00890DF6"/>
  </w:style>
  <w:style w:type="character" w:customStyle="1" w:styleId="hover2">
    <w:name w:val="hover2"/>
    <w:basedOn w:val="a0"/>
    <w:rsid w:val="00890DF6"/>
  </w:style>
  <w:style w:type="character" w:customStyle="1" w:styleId="hover3">
    <w:name w:val="hover3"/>
    <w:basedOn w:val="a0"/>
    <w:rsid w:val="00890DF6"/>
    <w:rPr>
      <w:shd w:val="clear" w:color="auto" w:fill="1A6C46"/>
    </w:rPr>
  </w:style>
  <w:style w:type="character" w:customStyle="1" w:styleId="tzinput">
    <w:name w:val="tz_input"/>
    <w:basedOn w:val="a0"/>
    <w:rsid w:val="00890DF6"/>
    <w:rPr>
      <w:color w:val="A01211"/>
      <w:sz w:val="24"/>
      <w:szCs w:val="24"/>
    </w:rPr>
  </w:style>
</w:styles>
</file>

<file path=word/webSettings.xml><?xml version="1.0" encoding="utf-8"?>
<w:webSettings xmlns:r="http://schemas.openxmlformats.org/officeDocument/2006/relationships" xmlns:w="http://schemas.openxmlformats.org/wordprocessingml/2006/main">
  <w:divs>
    <w:div w:id="2366672">
      <w:bodyDiv w:val="1"/>
      <w:marLeft w:val="0"/>
      <w:marRight w:val="0"/>
      <w:marTop w:val="0"/>
      <w:marBottom w:val="0"/>
      <w:divBdr>
        <w:top w:val="none" w:sz="0" w:space="0" w:color="auto"/>
        <w:left w:val="none" w:sz="0" w:space="0" w:color="auto"/>
        <w:bottom w:val="none" w:sz="0" w:space="0" w:color="auto"/>
        <w:right w:val="none" w:sz="0" w:space="0" w:color="auto"/>
      </w:divBdr>
      <w:divsChild>
        <w:div w:id="271326904">
          <w:marLeft w:val="0"/>
          <w:marRight w:val="0"/>
          <w:marTop w:val="0"/>
          <w:marBottom w:val="0"/>
          <w:divBdr>
            <w:top w:val="none" w:sz="0" w:space="0" w:color="auto"/>
            <w:left w:val="none" w:sz="0" w:space="0" w:color="auto"/>
            <w:bottom w:val="none" w:sz="0" w:space="0" w:color="auto"/>
            <w:right w:val="none" w:sz="0" w:space="0" w:color="auto"/>
          </w:divBdr>
          <w:divsChild>
            <w:div w:id="343290604">
              <w:marLeft w:val="0"/>
              <w:marRight w:val="0"/>
              <w:marTop w:val="100"/>
              <w:marBottom w:val="100"/>
              <w:divBdr>
                <w:top w:val="none" w:sz="0" w:space="0" w:color="auto"/>
                <w:left w:val="none" w:sz="0" w:space="0" w:color="auto"/>
                <w:bottom w:val="none" w:sz="0" w:space="0" w:color="auto"/>
                <w:right w:val="none" w:sz="0" w:space="0" w:color="auto"/>
              </w:divBdr>
              <w:divsChild>
                <w:div w:id="2058360614">
                  <w:marLeft w:val="0"/>
                  <w:marRight w:val="0"/>
                  <w:marTop w:val="0"/>
                  <w:marBottom w:val="0"/>
                  <w:divBdr>
                    <w:top w:val="none" w:sz="0" w:space="0" w:color="auto"/>
                    <w:left w:val="none" w:sz="0" w:space="0" w:color="auto"/>
                    <w:bottom w:val="none" w:sz="0" w:space="0" w:color="auto"/>
                    <w:right w:val="none" w:sz="0" w:space="0" w:color="auto"/>
                  </w:divBdr>
                  <w:divsChild>
                    <w:div w:id="1534994768">
                      <w:marLeft w:val="0"/>
                      <w:marRight w:val="0"/>
                      <w:marTop w:val="225"/>
                      <w:marBottom w:val="0"/>
                      <w:divBdr>
                        <w:top w:val="none" w:sz="0" w:space="0" w:color="auto"/>
                        <w:left w:val="none" w:sz="0" w:space="0" w:color="auto"/>
                        <w:bottom w:val="none" w:sz="0" w:space="0" w:color="auto"/>
                        <w:right w:val="none" w:sz="0" w:space="0" w:color="auto"/>
                      </w:divBdr>
                      <w:divsChild>
                        <w:div w:id="493036298">
                          <w:marLeft w:val="0"/>
                          <w:marRight w:val="0"/>
                          <w:marTop w:val="0"/>
                          <w:marBottom w:val="0"/>
                          <w:divBdr>
                            <w:top w:val="none" w:sz="0" w:space="0" w:color="auto"/>
                            <w:left w:val="none" w:sz="0" w:space="0" w:color="auto"/>
                            <w:bottom w:val="none" w:sz="0" w:space="0" w:color="auto"/>
                            <w:right w:val="none" w:sz="0" w:space="0" w:color="auto"/>
                          </w:divBdr>
                          <w:divsChild>
                            <w:div w:id="587233269">
                              <w:marLeft w:val="0"/>
                              <w:marRight w:val="0"/>
                              <w:marTop w:val="0"/>
                              <w:marBottom w:val="0"/>
                              <w:divBdr>
                                <w:top w:val="none" w:sz="0" w:space="0" w:color="auto"/>
                                <w:left w:val="none" w:sz="0" w:space="0" w:color="auto"/>
                                <w:bottom w:val="none" w:sz="0" w:space="0" w:color="auto"/>
                                <w:right w:val="none" w:sz="0" w:space="0" w:color="auto"/>
                              </w:divBdr>
                              <w:divsChild>
                                <w:div w:id="15239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94074">
      <w:bodyDiv w:val="1"/>
      <w:marLeft w:val="0"/>
      <w:marRight w:val="0"/>
      <w:marTop w:val="0"/>
      <w:marBottom w:val="0"/>
      <w:divBdr>
        <w:top w:val="none" w:sz="0" w:space="0" w:color="auto"/>
        <w:left w:val="none" w:sz="0" w:space="0" w:color="auto"/>
        <w:bottom w:val="none" w:sz="0" w:space="0" w:color="auto"/>
        <w:right w:val="none" w:sz="0" w:space="0" w:color="auto"/>
      </w:divBdr>
      <w:divsChild>
        <w:div w:id="1983731284">
          <w:marLeft w:val="0"/>
          <w:marRight w:val="0"/>
          <w:marTop w:val="0"/>
          <w:marBottom w:val="0"/>
          <w:divBdr>
            <w:top w:val="none" w:sz="0" w:space="0" w:color="auto"/>
            <w:left w:val="none" w:sz="0" w:space="0" w:color="auto"/>
            <w:bottom w:val="none" w:sz="0" w:space="0" w:color="auto"/>
            <w:right w:val="none" w:sz="0" w:space="0" w:color="auto"/>
          </w:divBdr>
          <w:divsChild>
            <w:div w:id="15405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5077">
      <w:bodyDiv w:val="1"/>
      <w:marLeft w:val="0"/>
      <w:marRight w:val="0"/>
      <w:marTop w:val="0"/>
      <w:marBottom w:val="0"/>
      <w:divBdr>
        <w:top w:val="none" w:sz="0" w:space="0" w:color="auto"/>
        <w:left w:val="none" w:sz="0" w:space="0" w:color="auto"/>
        <w:bottom w:val="none" w:sz="0" w:space="0" w:color="auto"/>
        <w:right w:val="none" w:sz="0" w:space="0" w:color="auto"/>
      </w:divBdr>
    </w:div>
    <w:div w:id="45298627">
      <w:bodyDiv w:val="1"/>
      <w:marLeft w:val="0"/>
      <w:marRight w:val="0"/>
      <w:marTop w:val="0"/>
      <w:marBottom w:val="0"/>
      <w:divBdr>
        <w:top w:val="none" w:sz="0" w:space="0" w:color="auto"/>
        <w:left w:val="none" w:sz="0" w:space="0" w:color="auto"/>
        <w:bottom w:val="none" w:sz="0" w:space="0" w:color="auto"/>
        <w:right w:val="none" w:sz="0" w:space="0" w:color="auto"/>
      </w:divBdr>
    </w:div>
    <w:div w:id="51774133">
      <w:bodyDiv w:val="1"/>
      <w:marLeft w:val="0"/>
      <w:marRight w:val="0"/>
      <w:marTop w:val="0"/>
      <w:marBottom w:val="0"/>
      <w:divBdr>
        <w:top w:val="none" w:sz="0" w:space="0" w:color="auto"/>
        <w:left w:val="none" w:sz="0" w:space="0" w:color="auto"/>
        <w:bottom w:val="none" w:sz="0" w:space="0" w:color="auto"/>
        <w:right w:val="none" w:sz="0" w:space="0" w:color="auto"/>
      </w:divBdr>
    </w:div>
    <w:div w:id="55277352">
      <w:bodyDiv w:val="1"/>
      <w:marLeft w:val="0"/>
      <w:marRight w:val="0"/>
      <w:marTop w:val="0"/>
      <w:marBottom w:val="0"/>
      <w:divBdr>
        <w:top w:val="none" w:sz="0" w:space="0" w:color="auto"/>
        <w:left w:val="none" w:sz="0" w:space="0" w:color="auto"/>
        <w:bottom w:val="none" w:sz="0" w:space="0" w:color="auto"/>
        <w:right w:val="none" w:sz="0" w:space="0" w:color="auto"/>
      </w:divBdr>
      <w:divsChild>
        <w:div w:id="1570924134">
          <w:marLeft w:val="0"/>
          <w:marRight w:val="0"/>
          <w:marTop w:val="150"/>
          <w:marBottom w:val="0"/>
          <w:divBdr>
            <w:top w:val="none" w:sz="0" w:space="0" w:color="auto"/>
            <w:left w:val="none" w:sz="0" w:space="0" w:color="auto"/>
            <w:bottom w:val="none" w:sz="0" w:space="0" w:color="auto"/>
            <w:right w:val="none" w:sz="0" w:space="0" w:color="auto"/>
          </w:divBdr>
          <w:divsChild>
            <w:div w:id="245765924">
              <w:marLeft w:val="0"/>
              <w:marRight w:val="0"/>
              <w:marTop w:val="0"/>
              <w:marBottom w:val="0"/>
              <w:divBdr>
                <w:top w:val="single" w:sz="6" w:space="0" w:color="CADAE7"/>
                <w:left w:val="single" w:sz="6" w:space="0" w:color="CADAE7"/>
                <w:bottom w:val="single" w:sz="6" w:space="0" w:color="CADAE7"/>
                <w:right w:val="single" w:sz="6" w:space="0" w:color="CADAE7"/>
              </w:divBdr>
              <w:divsChild>
                <w:div w:id="241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0126">
      <w:bodyDiv w:val="1"/>
      <w:marLeft w:val="0"/>
      <w:marRight w:val="0"/>
      <w:marTop w:val="0"/>
      <w:marBottom w:val="0"/>
      <w:divBdr>
        <w:top w:val="none" w:sz="0" w:space="0" w:color="auto"/>
        <w:left w:val="none" w:sz="0" w:space="0" w:color="auto"/>
        <w:bottom w:val="none" w:sz="0" w:space="0" w:color="auto"/>
        <w:right w:val="none" w:sz="0" w:space="0" w:color="auto"/>
      </w:divBdr>
    </w:div>
    <w:div w:id="75052923">
      <w:bodyDiv w:val="1"/>
      <w:marLeft w:val="0"/>
      <w:marRight w:val="0"/>
      <w:marTop w:val="0"/>
      <w:marBottom w:val="0"/>
      <w:divBdr>
        <w:top w:val="none" w:sz="0" w:space="0" w:color="auto"/>
        <w:left w:val="none" w:sz="0" w:space="0" w:color="auto"/>
        <w:bottom w:val="none" w:sz="0" w:space="0" w:color="auto"/>
        <w:right w:val="none" w:sz="0" w:space="0" w:color="auto"/>
      </w:divBdr>
    </w:div>
    <w:div w:id="156119280">
      <w:bodyDiv w:val="1"/>
      <w:marLeft w:val="0"/>
      <w:marRight w:val="0"/>
      <w:marTop w:val="0"/>
      <w:marBottom w:val="0"/>
      <w:divBdr>
        <w:top w:val="none" w:sz="0" w:space="0" w:color="auto"/>
        <w:left w:val="none" w:sz="0" w:space="0" w:color="auto"/>
        <w:bottom w:val="none" w:sz="0" w:space="0" w:color="auto"/>
        <w:right w:val="none" w:sz="0" w:space="0" w:color="auto"/>
      </w:divBdr>
    </w:div>
    <w:div w:id="175656987">
      <w:bodyDiv w:val="1"/>
      <w:marLeft w:val="0"/>
      <w:marRight w:val="0"/>
      <w:marTop w:val="0"/>
      <w:marBottom w:val="0"/>
      <w:divBdr>
        <w:top w:val="none" w:sz="0" w:space="0" w:color="auto"/>
        <w:left w:val="none" w:sz="0" w:space="0" w:color="auto"/>
        <w:bottom w:val="none" w:sz="0" w:space="0" w:color="auto"/>
        <w:right w:val="none" w:sz="0" w:space="0" w:color="auto"/>
      </w:divBdr>
      <w:divsChild>
        <w:div w:id="1955476907">
          <w:marLeft w:val="0"/>
          <w:marRight w:val="0"/>
          <w:marTop w:val="0"/>
          <w:marBottom w:val="0"/>
          <w:divBdr>
            <w:top w:val="none" w:sz="0" w:space="0" w:color="auto"/>
            <w:left w:val="none" w:sz="0" w:space="0" w:color="auto"/>
            <w:bottom w:val="none" w:sz="0" w:space="0" w:color="auto"/>
            <w:right w:val="none" w:sz="0" w:space="0" w:color="auto"/>
          </w:divBdr>
          <w:divsChild>
            <w:div w:id="1399330280">
              <w:marLeft w:val="0"/>
              <w:marRight w:val="0"/>
              <w:marTop w:val="0"/>
              <w:marBottom w:val="0"/>
              <w:divBdr>
                <w:top w:val="none" w:sz="0" w:space="0" w:color="auto"/>
                <w:left w:val="none" w:sz="0" w:space="0" w:color="auto"/>
                <w:bottom w:val="none" w:sz="0" w:space="0" w:color="auto"/>
                <w:right w:val="none" w:sz="0" w:space="0" w:color="auto"/>
              </w:divBdr>
              <w:divsChild>
                <w:div w:id="3269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1652">
      <w:bodyDiv w:val="1"/>
      <w:marLeft w:val="0"/>
      <w:marRight w:val="0"/>
      <w:marTop w:val="0"/>
      <w:marBottom w:val="0"/>
      <w:divBdr>
        <w:top w:val="none" w:sz="0" w:space="0" w:color="auto"/>
        <w:left w:val="none" w:sz="0" w:space="0" w:color="auto"/>
        <w:bottom w:val="none" w:sz="0" w:space="0" w:color="auto"/>
        <w:right w:val="none" w:sz="0" w:space="0" w:color="auto"/>
      </w:divBdr>
      <w:divsChild>
        <w:div w:id="443310397">
          <w:marLeft w:val="0"/>
          <w:marRight w:val="0"/>
          <w:marTop w:val="0"/>
          <w:marBottom w:val="0"/>
          <w:divBdr>
            <w:top w:val="none" w:sz="0" w:space="0" w:color="auto"/>
            <w:left w:val="none" w:sz="0" w:space="0" w:color="auto"/>
            <w:bottom w:val="none" w:sz="0" w:space="0" w:color="auto"/>
            <w:right w:val="none" w:sz="0" w:space="0" w:color="auto"/>
          </w:divBdr>
          <w:divsChild>
            <w:div w:id="1880899079">
              <w:marLeft w:val="0"/>
              <w:marRight w:val="0"/>
              <w:marTop w:val="100"/>
              <w:marBottom w:val="100"/>
              <w:divBdr>
                <w:top w:val="none" w:sz="0" w:space="0" w:color="auto"/>
                <w:left w:val="none" w:sz="0" w:space="0" w:color="auto"/>
                <w:bottom w:val="none" w:sz="0" w:space="0" w:color="auto"/>
                <w:right w:val="none" w:sz="0" w:space="0" w:color="auto"/>
              </w:divBdr>
              <w:divsChild>
                <w:div w:id="982931558">
                  <w:marLeft w:val="0"/>
                  <w:marRight w:val="0"/>
                  <w:marTop w:val="0"/>
                  <w:marBottom w:val="0"/>
                  <w:divBdr>
                    <w:top w:val="none" w:sz="0" w:space="0" w:color="auto"/>
                    <w:left w:val="none" w:sz="0" w:space="0" w:color="auto"/>
                    <w:bottom w:val="none" w:sz="0" w:space="0" w:color="auto"/>
                    <w:right w:val="none" w:sz="0" w:space="0" w:color="auto"/>
                  </w:divBdr>
                  <w:divsChild>
                    <w:div w:id="84961636">
                      <w:marLeft w:val="0"/>
                      <w:marRight w:val="0"/>
                      <w:marTop w:val="225"/>
                      <w:marBottom w:val="0"/>
                      <w:divBdr>
                        <w:top w:val="none" w:sz="0" w:space="0" w:color="auto"/>
                        <w:left w:val="none" w:sz="0" w:space="0" w:color="auto"/>
                        <w:bottom w:val="none" w:sz="0" w:space="0" w:color="auto"/>
                        <w:right w:val="none" w:sz="0" w:space="0" w:color="auto"/>
                      </w:divBdr>
                      <w:divsChild>
                        <w:div w:id="12554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4928">
      <w:bodyDiv w:val="1"/>
      <w:marLeft w:val="0"/>
      <w:marRight w:val="0"/>
      <w:marTop w:val="0"/>
      <w:marBottom w:val="0"/>
      <w:divBdr>
        <w:top w:val="none" w:sz="0" w:space="0" w:color="auto"/>
        <w:left w:val="none" w:sz="0" w:space="0" w:color="auto"/>
        <w:bottom w:val="none" w:sz="0" w:space="0" w:color="auto"/>
        <w:right w:val="none" w:sz="0" w:space="0" w:color="auto"/>
      </w:divBdr>
    </w:div>
    <w:div w:id="257713501">
      <w:bodyDiv w:val="1"/>
      <w:marLeft w:val="0"/>
      <w:marRight w:val="0"/>
      <w:marTop w:val="0"/>
      <w:marBottom w:val="0"/>
      <w:divBdr>
        <w:top w:val="none" w:sz="0" w:space="0" w:color="auto"/>
        <w:left w:val="none" w:sz="0" w:space="0" w:color="auto"/>
        <w:bottom w:val="none" w:sz="0" w:space="0" w:color="auto"/>
        <w:right w:val="none" w:sz="0" w:space="0" w:color="auto"/>
      </w:divBdr>
      <w:divsChild>
        <w:div w:id="1503662338">
          <w:marLeft w:val="0"/>
          <w:marRight w:val="0"/>
          <w:marTop w:val="0"/>
          <w:marBottom w:val="0"/>
          <w:divBdr>
            <w:top w:val="none" w:sz="0" w:space="0" w:color="auto"/>
            <w:left w:val="none" w:sz="0" w:space="0" w:color="auto"/>
            <w:bottom w:val="none" w:sz="0" w:space="0" w:color="auto"/>
            <w:right w:val="none" w:sz="0" w:space="0" w:color="auto"/>
          </w:divBdr>
          <w:divsChild>
            <w:div w:id="1946764825">
              <w:marLeft w:val="0"/>
              <w:marRight w:val="0"/>
              <w:marTop w:val="0"/>
              <w:marBottom w:val="0"/>
              <w:divBdr>
                <w:top w:val="none" w:sz="0" w:space="0" w:color="auto"/>
                <w:left w:val="none" w:sz="0" w:space="0" w:color="auto"/>
                <w:bottom w:val="none" w:sz="0" w:space="0" w:color="auto"/>
                <w:right w:val="none" w:sz="0" w:space="0" w:color="auto"/>
              </w:divBdr>
              <w:divsChild>
                <w:div w:id="12478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8954">
      <w:bodyDiv w:val="1"/>
      <w:marLeft w:val="0"/>
      <w:marRight w:val="0"/>
      <w:marTop w:val="0"/>
      <w:marBottom w:val="0"/>
      <w:divBdr>
        <w:top w:val="none" w:sz="0" w:space="0" w:color="auto"/>
        <w:left w:val="none" w:sz="0" w:space="0" w:color="auto"/>
        <w:bottom w:val="none" w:sz="0" w:space="0" w:color="auto"/>
        <w:right w:val="none" w:sz="0" w:space="0" w:color="auto"/>
      </w:divBdr>
    </w:div>
    <w:div w:id="269237333">
      <w:bodyDiv w:val="1"/>
      <w:marLeft w:val="0"/>
      <w:marRight w:val="0"/>
      <w:marTop w:val="0"/>
      <w:marBottom w:val="0"/>
      <w:divBdr>
        <w:top w:val="none" w:sz="0" w:space="0" w:color="auto"/>
        <w:left w:val="none" w:sz="0" w:space="0" w:color="auto"/>
        <w:bottom w:val="none" w:sz="0" w:space="0" w:color="auto"/>
        <w:right w:val="none" w:sz="0" w:space="0" w:color="auto"/>
      </w:divBdr>
    </w:div>
    <w:div w:id="275646931">
      <w:bodyDiv w:val="1"/>
      <w:marLeft w:val="0"/>
      <w:marRight w:val="0"/>
      <w:marTop w:val="0"/>
      <w:marBottom w:val="0"/>
      <w:divBdr>
        <w:top w:val="none" w:sz="0" w:space="0" w:color="auto"/>
        <w:left w:val="none" w:sz="0" w:space="0" w:color="auto"/>
        <w:bottom w:val="none" w:sz="0" w:space="0" w:color="auto"/>
        <w:right w:val="none" w:sz="0" w:space="0" w:color="auto"/>
      </w:divBdr>
    </w:div>
    <w:div w:id="305013971">
      <w:bodyDiv w:val="1"/>
      <w:marLeft w:val="0"/>
      <w:marRight w:val="0"/>
      <w:marTop w:val="0"/>
      <w:marBottom w:val="0"/>
      <w:divBdr>
        <w:top w:val="none" w:sz="0" w:space="0" w:color="auto"/>
        <w:left w:val="none" w:sz="0" w:space="0" w:color="auto"/>
        <w:bottom w:val="none" w:sz="0" w:space="0" w:color="auto"/>
        <w:right w:val="none" w:sz="0" w:space="0" w:color="auto"/>
      </w:divBdr>
    </w:div>
    <w:div w:id="322664765">
      <w:bodyDiv w:val="1"/>
      <w:marLeft w:val="0"/>
      <w:marRight w:val="0"/>
      <w:marTop w:val="0"/>
      <w:marBottom w:val="0"/>
      <w:divBdr>
        <w:top w:val="none" w:sz="0" w:space="0" w:color="auto"/>
        <w:left w:val="none" w:sz="0" w:space="0" w:color="auto"/>
        <w:bottom w:val="none" w:sz="0" w:space="0" w:color="auto"/>
        <w:right w:val="none" w:sz="0" w:space="0" w:color="auto"/>
      </w:divBdr>
    </w:div>
    <w:div w:id="328023969">
      <w:bodyDiv w:val="1"/>
      <w:marLeft w:val="0"/>
      <w:marRight w:val="0"/>
      <w:marTop w:val="0"/>
      <w:marBottom w:val="0"/>
      <w:divBdr>
        <w:top w:val="none" w:sz="0" w:space="0" w:color="auto"/>
        <w:left w:val="none" w:sz="0" w:space="0" w:color="auto"/>
        <w:bottom w:val="none" w:sz="0" w:space="0" w:color="auto"/>
        <w:right w:val="none" w:sz="0" w:space="0" w:color="auto"/>
      </w:divBdr>
      <w:divsChild>
        <w:div w:id="1942763020">
          <w:marLeft w:val="0"/>
          <w:marRight w:val="0"/>
          <w:marTop w:val="0"/>
          <w:marBottom w:val="0"/>
          <w:divBdr>
            <w:top w:val="none" w:sz="0" w:space="0" w:color="auto"/>
            <w:left w:val="none" w:sz="0" w:space="0" w:color="auto"/>
            <w:bottom w:val="none" w:sz="0" w:space="0" w:color="auto"/>
            <w:right w:val="none" w:sz="0" w:space="0" w:color="auto"/>
          </w:divBdr>
          <w:divsChild>
            <w:div w:id="13968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2015">
      <w:bodyDiv w:val="1"/>
      <w:marLeft w:val="0"/>
      <w:marRight w:val="0"/>
      <w:marTop w:val="0"/>
      <w:marBottom w:val="0"/>
      <w:divBdr>
        <w:top w:val="none" w:sz="0" w:space="0" w:color="auto"/>
        <w:left w:val="none" w:sz="0" w:space="0" w:color="auto"/>
        <w:bottom w:val="none" w:sz="0" w:space="0" w:color="auto"/>
        <w:right w:val="none" w:sz="0" w:space="0" w:color="auto"/>
      </w:divBdr>
      <w:divsChild>
        <w:div w:id="1358577072">
          <w:marLeft w:val="0"/>
          <w:marRight w:val="0"/>
          <w:marTop w:val="0"/>
          <w:marBottom w:val="0"/>
          <w:divBdr>
            <w:top w:val="none" w:sz="0" w:space="0" w:color="auto"/>
            <w:left w:val="none" w:sz="0" w:space="0" w:color="auto"/>
            <w:bottom w:val="none" w:sz="0" w:space="0" w:color="auto"/>
            <w:right w:val="none" w:sz="0" w:space="0" w:color="auto"/>
          </w:divBdr>
          <w:divsChild>
            <w:div w:id="552349992">
              <w:marLeft w:val="0"/>
              <w:marRight w:val="0"/>
              <w:marTop w:val="100"/>
              <w:marBottom w:val="100"/>
              <w:divBdr>
                <w:top w:val="none" w:sz="0" w:space="0" w:color="auto"/>
                <w:left w:val="none" w:sz="0" w:space="0" w:color="auto"/>
                <w:bottom w:val="none" w:sz="0" w:space="0" w:color="auto"/>
                <w:right w:val="none" w:sz="0" w:space="0" w:color="auto"/>
              </w:divBdr>
              <w:divsChild>
                <w:div w:id="1909656884">
                  <w:marLeft w:val="0"/>
                  <w:marRight w:val="0"/>
                  <w:marTop w:val="0"/>
                  <w:marBottom w:val="0"/>
                  <w:divBdr>
                    <w:top w:val="none" w:sz="0" w:space="0" w:color="auto"/>
                    <w:left w:val="none" w:sz="0" w:space="0" w:color="auto"/>
                    <w:bottom w:val="none" w:sz="0" w:space="0" w:color="auto"/>
                    <w:right w:val="none" w:sz="0" w:space="0" w:color="auto"/>
                  </w:divBdr>
                  <w:divsChild>
                    <w:div w:id="1161192811">
                      <w:marLeft w:val="0"/>
                      <w:marRight w:val="0"/>
                      <w:marTop w:val="225"/>
                      <w:marBottom w:val="0"/>
                      <w:divBdr>
                        <w:top w:val="none" w:sz="0" w:space="0" w:color="auto"/>
                        <w:left w:val="none" w:sz="0" w:space="0" w:color="auto"/>
                        <w:bottom w:val="none" w:sz="0" w:space="0" w:color="auto"/>
                        <w:right w:val="none" w:sz="0" w:space="0" w:color="auto"/>
                      </w:divBdr>
                      <w:divsChild>
                        <w:div w:id="1924139024">
                          <w:marLeft w:val="0"/>
                          <w:marRight w:val="0"/>
                          <w:marTop w:val="0"/>
                          <w:marBottom w:val="0"/>
                          <w:divBdr>
                            <w:top w:val="none" w:sz="0" w:space="0" w:color="auto"/>
                            <w:left w:val="none" w:sz="0" w:space="0" w:color="auto"/>
                            <w:bottom w:val="none" w:sz="0" w:space="0" w:color="auto"/>
                            <w:right w:val="none" w:sz="0" w:space="0" w:color="auto"/>
                          </w:divBdr>
                          <w:divsChild>
                            <w:div w:id="1709066058">
                              <w:marLeft w:val="0"/>
                              <w:marRight w:val="0"/>
                              <w:marTop w:val="0"/>
                              <w:marBottom w:val="0"/>
                              <w:divBdr>
                                <w:top w:val="none" w:sz="0" w:space="0" w:color="auto"/>
                                <w:left w:val="none" w:sz="0" w:space="0" w:color="auto"/>
                                <w:bottom w:val="none" w:sz="0" w:space="0" w:color="auto"/>
                                <w:right w:val="none" w:sz="0" w:space="0" w:color="auto"/>
                              </w:divBdr>
                              <w:divsChild>
                                <w:div w:id="18285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549829">
      <w:bodyDiv w:val="1"/>
      <w:marLeft w:val="0"/>
      <w:marRight w:val="0"/>
      <w:marTop w:val="0"/>
      <w:marBottom w:val="0"/>
      <w:divBdr>
        <w:top w:val="none" w:sz="0" w:space="0" w:color="auto"/>
        <w:left w:val="none" w:sz="0" w:space="0" w:color="auto"/>
        <w:bottom w:val="none" w:sz="0" w:space="0" w:color="auto"/>
        <w:right w:val="none" w:sz="0" w:space="0" w:color="auto"/>
      </w:divBdr>
    </w:div>
    <w:div w:id="403380936">
      <w:bodyDiv w:val="1"/>
      <w:marLeft w:val="0"/>
      <w:marRight w:val="0"/>
      <w:marTop w:val="0"/>
      <w:marBottom w:val="0"/>
      <w:divBdr>
        <w:top w:val="none" w:sz="0" w:space="0" w:color="auto"/>
        <w:left w:val="none" w:sz="0" w:space="0" w:color="auto"/>
        <w:bottom w:val="none" w:sz="0" w:space="0" w:color="auto"/>
        <w:right w:val="none" w:sz="0" w:space="0" w:color="auto"/>
      </w:divBdr>
    </w:div>
    <w:div w:id="447625118">
      <w:bodyDiv w:val="1"/>
      <w:marLeft w:val="0"/>
      <w:marRight w:val="0"/>
      <w:marTop w:val="0"/>
      <w:marBottom w:val="0"/>
      <w:divBdr>
        <w:top w:val="none" w:sz="0" w:space="0" w:color="auto"/>
        <w:left w:val="none" w:sz="0" w:space="0" w:color="auto"/>
        <w:bottom w:val="none" w:sz="0" w:space="0" w:color="auto"/>
        <w:right w:val="none" w:sz="0" w:space="0" w:color="auto"/>
      </w:divBdr>
    </w:div>
    <w:div w:id="451172153">
      <w:bodyDiv w:val="1"/>
      <w:marLeft w:val="0"/>
      <w:marRight w:val="0"/>
      <w:marTop w:val="0"/>
      <w:marBottom w:val="0"/>
      <w:divBdr>
        <w:top w:val="none" w:sz="0" w:space="0" w:color="auto"/>
        <w:left w:val="none" w:sz="0" w:space="0" w:color="auto"/>
        <w:bottom w:val="none" w:sz="0" w:space="0" w:color="auto"/>
        <w:right w:val="none" w:sz="0" w:space="0" w:color="auto"/>
      </w:divBdr>
    </w:div>
    <w:div w:id="451940155">
      <w:bodyDiv w:val="1"/>
      <w:marLeft w:val="0"/>
      <w:marRight w:val="0"/>
      <w:marTop w:val="0"/>
      <w:marBottom w:val="0"/>
      <w:divBdr>
        <w:top w:val="none" w:sz="0" w:space="0" w:color="auto"/>
        <w:left w:val="none" w:sz="0" w:space="0" w:color="auto"/>
        <w:bottom w:val="none" w:sz="0" w:space="0" w:color="auto"/>
        <w:right w:val="none" w:sz="0" w:space="0" w:color="auto"/>
      </w:divBdr>
    </w:div>
    <w:div w:id="467868697">
      <w:bodyDiv w:val="1"/>
      <w:marLeft w:val="0"/>
      <w:marRight w:val="0"/>
      <w:marTop w:val="0"/>
      <w:marBottom w:val="0"/>
      <w:divBdr>
        <w:top w:val="none" w:sz="0" w:space="0" w:color="auto"/>
        <w:left w:val="none" w:sz="0" w:space="0" w:color="auto"/>
        <w:bottom w:val="none" w:sz="0" w:space="0" w:color="auto"/>
        <w:right w:val="none" w:sz="0" w:space="0" w:color="auto"/>
      </w:divBdr>
    </w:div>
    <w:div w:id="484591097">
      <w:bodyDiv w:val="1"/>
      <w:marLeft w:val="0"/>
      <w:marRight w:val="0"/>
      <w:marTop w:val="0"/>
      <w:marBottom w:val="0"/>
      <w:divBdr>
        <w:top w:val="none" w:sz="0" w:space="0" w:color="auto"/>
        <w:left w:val="none" w:sz="0" w:space="0" w:color="auto"/>
        <w:bottom w:val="none" w:sz="0" w:space="0" w:color="auto"/>
        <w:right w:val="none" w:sz="0" w:space="0" w:color="auto"/>
      </w:divBdr>
      <w:divsChild>
        <w:div w:id="2037342392">
          <w:marLeft w:val="0"/>
          <w:marRight w:val="0"/>
          <w:marTop w:val="150"/>
          <w:marBottom w:val="0"/>
          <w:divBdr>
            <w:top w:val="none" w:sz="0" w:space="0" w:color="auto"/>
            <w:left w:val="none" w:sz="0" w:space="0" w:color="auto"/>
            <w:bottom w:val="none" w:sz="0" w:space="0" w:color="auto"/>
            <w:right w:val="none" w:sz="0" w:space="0" w:color="auto"/>
          </w:divBdr>
          <w:divsChild>
            <w:div w:id="359018559">
              <w:marLeft w:val="0"/>
              <w:marRight w:val="0"/>
              <w:marTop w:val="0"/>
              <w:marBottom w:val="0"/>
              <w:divBdr>
                <w:top w:val="single" w:sz="6" w:space="0" w:color="CADAE7"/>
                <w:left w:val="single" w:sz="6" w:space="0" w:color="CADAE7"/>
                <w:bottom w:val="single" w:sz="6" w:space="0" w:color="CADAE7"/>
                <w:right w:val="single" w:sz="6" w:space="0" w:color="CADAE7"/>
              </w:divBdr>
              <w:divsChild>
                <w:div w:id="6711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4843">
      <w:bodyDiv w:val="1"/>
      <w:marLeft w:val="0"/>
      <w:marRight w:val="0"/>
      <w:marTop w:val="0"/>
      <w:marBottom w:val="0"/>
      <w:divBdr>
        <w:top w:val="none" w:sz="0" w:space="0" w:color="auto"/>
        <w:left w:val="none" w:sz="0" w:space="0" w:color="auto"/>
        <w:bottom w:val="none" w:sz="0" w:space="0" w:color="auto"/>
        <w:right w:val="none" w:sz="0" w:space="0" w:color="auto"/>
      </w:divBdr>
    </w:div>
    <w:div w:id="555162947">
      <w:bodyDiv w:val="1"/>
      <w:marLeft w:val="0"/>
      <w:marRight w:val="0"/>
      <w:marTop w:val="0"/>
      <w:marBottom w:val="0"/>
      <w:divBdr>
        <w:top w:val="none" w:sz="0" w:space="0" w:color="auto"/>
        <w:left w:val="none" w:sz="0" w:space="0" w:color="auto"/>
        <w:bottom w:val="none" w:sz="0" w:space="0" w:color="auto"/>
        <w:right w:val="none" w:sz="0" w:space="0" w:color="auto"/>
      </w:divBdr>
    </w:div>
    <w:div w:id="587881606">
      <w:bodyDiv w:val="1"/>
      <w:marLeft w:val="0"/>
      <w:marRight w:val="0"/>
      <w:marTop w:val="0"/>
      <w:marBottom w:val="0"/>
      <w:divBdr>
        <w:top w:val="none" w:sz="0" w:space="0" w:color="auto"/>
        <w:left w:val="none" w:sz="0" w:space="0" w:color="auto"/>
        <w:bottom w:val="none" w:sz="0" w:space="0" w:color="auto"/>
        <w:right w:val="none" w:sz="0" w:space="0" w:color="auto"/>
      </w:divBdr>
    </w:div>
    <w:div w:id="629020342">
      <w:bodyDiv w:val="1"/>
      <w:marLeft w:val="0"/>
      <w:marRight w:val="0"/>
      <w:marTop w:val="0"/>
      <w:marBottom w:val="0"/>
      <w:divBdr>
        <w:top w:val="none" w:sz="0" w:space="0" w:color="auto"/>
        <w:left w:val="none" w:sz="0" w:space="0" w:color="auto"/>
        <w:bottom w:val="none" w:sz="0" w:space="0" w:color="auto"/>
        <w:right w:val="none" w:sz="0" w:space="0" w:color="auto"/>
      </w:divBdr>
    </w:div>
    <w:div w:id="633218698">
      <w:bodyDiv w:val="1"/>
      <w:marLeft w:val="0"/>
      <w:marRight w:val="0"/>
      <w:marTop w:val="0"/>
      <w:marBottom w:val="0"/>
      <w:divBdr>
        <w:top w:val="none" w:sz="0" w:space="0" w:color="auto"/>
        <w:left w:val="none" w:sz="0" w:space="0" w:color="auto"/>
        <w:bottom w:val="none" w:sz="0" w:space="0" w:color="auto"/>
        <w:right w:val="none" w:sz="0" w:space="0" w:color="auto"/>
      </w:divBdr>
    </w:div>
    <w:div w:id="736830146">
      <w:bodyDiv w:val="1"/>
      <w:marLeft w:val="0"/>
      <w:marRight w:val="0"/>
      <w:marTop w:val="0"/>
      <w:marBottom w:val="0"/>
      <w:divBdr>
        <w:top w:val="none" w:sz="0" w:space="0" w:color="auto"/>
        <w:left w:val="none" w:sz="0" w:space="0" w:color="auto"/>
        <w:bottom w:val="none" w:sz="0" w:space="0" w:color="auto"/>
        <w:right w:val="none" w:sz="0" w:space="0" w:color="auto"/>
      </w:divBdr>
      <w:divsChild>
        <w:div w:id="1177891267">
          <w:marLeft w:val="0"/>
          <w:marRight w:val="0"/>
          <w:marTop w:val="0"/>
          <w:marBottom w:val="0"/>
          <w:divBdr>
            <w:top w:val="none" w:sz="0" w:space="0" w:color="auto"/>
            <w:left w:val="none" w:sz="0" w:space="0" w:color="auto"/>
            <w:bottom w:val="none" w:sz="0" w:space="0" w:color="auto"/>
            <w:right w:val="none" w:sz="0" w:space="0" w:color="auto"/>
          </w:divBdr>
          <w:divsChild>
            <w:div w:id="2076850165">
              <w:marLeft w:val="0"/>
              <w:marRight w:val="0"/>
              <w:marTop w:val="0"/>
              <w:marBottom w:val="0"/>
              <w:divBdr>
                <w:top w:val="none" w:sz="0" w:space="0" w:color="auto"/>
                <w:left w:val="none" w:sz="0" w:space="0" w:color="auto"/>
                <w:bottom w:val="none" w:sz="0" w:space="0" w:color="auto"/>
                <w:right w:val="none" w:sz="0" w:space="0" w:color="auto"/>
              </w:divBdr>
              <w:divsChild>
                <w:div w:id="12554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876">
      <w:bodyDiv w:val="1"/>
      <w:marLeft w:val="0"/>
      <w:marRight w:val="0"/>
      <w:marTop w:val="0"/>
      <w:marBottom w:val="0"/>
      <w:divBdr>
        <w:top w:val="none" w:sz="0" w:space="0" w:color="auto"/>
        <w:left w:val="none" w:sz="0" w:space="0" w:color="auto"/>
        <w:bottom w:val="none" w:sz="0" w:space="0" w:color="auto"/>
        <w:right w:val="none" w:sz="0" w:space="0" w:color="auto"/>
      </w:divBdr>
      <w:divsChild>
        <w:div w:id="126973554">
          <w:marLeft w:val="0"/>
          <w:marRight w:val="0"/>
          <w:marTop w:val="0"/>
          <w:marBottom w:val="0"/>
          <w:divBdr>
            <w:top w:val="none" w:sz="0" w:space="0" w:color="auto"/>
            <w:left w:val="none" w:sz="0" w:space="0" w:color="auto"/>
            <w:bottom w:val="none" w:sz="0" w:space="0" w:color="auto"/>
            <w:right w:val="none" w:sz="0" w:space="0" w:color="auto"/>
          </w:divBdr>
          <w:divsChild>
            <w:div w:id="173611173">
              <w:marLeft w:val="0"/>
              <w:marRight w:val="0"/>
              <w:marTop w:val="100"/>
              <w:marBottom w:val="100"/>
              <w:divBdr>
                <w:top w:val="none" w:sz="0" w:space="0" w:color="auto"/>
                <w:left w:val="none" w:sz="0" w:space="0" w:color="auto"/>
                <w:bottom w:val="none" w:sz="0" w:space="0" w:color="auto"/>
                <w:right w:val="none" w:sz="0" w:space="0" w:color="auto"/>
              </w:divBdr>
              <w:divsChild>
                <w:div w:id="1077941246">
                  <w:marLeft w:val="0"/>
                  <w:marRight w:val="0"/>
                  <w:marTop w:val="0"/>
                  <w:marBottom w:val="0"/>
                  <w:divBdr>
                    <w:top w:val="none" w:sz="0" w:space="0" w:color="auto"/>
                    <w:left w:val="none" w:sz="0" w:space="0" w:color="auto"/>
                    <w:bottom w:val="none" w:sz="0" w:space="0" w:color="auto"/>
                    <w:right w:val="none" w:sz="0" w:space="0" w:color="auto"/>
                  </w:divBdr>
                  <w:divsChild>
                    <w:div w:id="569197508">
                      <w:marLeft w:val="0"/>
                      <w:marRight w:val="0"/>
                      <w:marTop w:val="225"/>
                      <w:marBottom w:val="0"/>
                      <w:divBdr>
                        <w:top w:val="none" w:sz="0" w:space="0" w:color="auto"/>
                        <w:left w:val="none" w:sz="0" w:space="0" w:color="auto"/>
                        <w:bottom w:val="none" w:sz="0" w:space="0" w:color="auto"/>
                        <w:right w:val="none" w:sz="0" w:space="0" w:color="auto"/>
                      </w:divBdr>
                      <w:divsChild>
                        <w:div w:id="1507524769">
                          <w:marLeft w:val="0"/>
                          <w:marRight w:val="0"/>
                          <w:marTop w:val="0"/>
                          <w:marBottom w:val="0"/>
                          <w:divBdr>
                            <w:top w:val="none" w:sz="0" w:space="0" w:color="auto"/>
                            <w:left w:val="none" w:sz="0" w:space="0" w:color="auto"/>
                            <w:bottom w:val="none" w:sz="0" w:space="0" w:color="auto"/>
                            <w:right w:val="none" w:sz="0" w:space="0" w:color="auto"/>
                          </w:divBdr>
                          <w:divsChild>
                            <w:div w:id="1393040185">
                              <w:marLeft w:val="0"/>
                              <w:marRight w:val="0"/>
                              <w:marTop w:val="0"/>
                              <w:marBottom w:val="0"/>
                              <w:divBdr>
                                <w:top w:val="none" w:sz="0" w:space="0" w:color="auto"/>
                                <w:left w:val="none" w:sz="0" w:space="0" w:color="auto"/>
                                <w:bottom w:val="none" w:sz="0" w:space="0" w:color="auto"/>
                                <w:right w:val="none" w:sz="0" w:space="0" w:color="auto"/>
                              </w:divBdr>
                              <w:divsChild>
                                <w:div w:id="12090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971682">
      <w:bodyDiv w:val="1"/>
      <w:marLeft w:val="0"/>
      <w:marRight w:val="0"/>
      <w:marTop w:val="0"/>
      <w:marBottom w:val="0"/>
      <w:divBdr>
        <w:top w:val="none" w:sz="0" w:space="0" w:color="auto"/>
        <w:left w:val="none" w:sz="0" w:space="0" w:color="auto"/>
        <w:bottom w:val="none" w:sz="0" w:space="0" w:color="auto"/>
        <w:right w:val="none" w:sz="0" w:space="0" w:color="auto"/>
      </w:divBdr>
      <w:divsChild>
        <w:div w:id="359596644">
          <w:marLeft w:val="0"/>
          <w:marRight w:val="0"/>
          <w:marTop w:val="150"/>
          <w:marBottom w:val="0"/>
          <w:divBdr>
            <w:top w:val="none" w:sz="0" w:space="0" w:color="auto"/>
            <w:left w:val="none" w:sz="0" w:space="0" w:color="auto"/>
            <w:bottom w:val="none" w:sz="0" w:space="0" w:color="auto"/>
            <w:right w:val="none" w:sz="0" w:space="0" w:color="auto"/>
          </w:divBdr>
          <w:divsChild>
            <w:div w:id="1772504746">
              <w:marLeft w:val="0"/>
              <w:marRight w:val="0"/>
              <w:marTop w:val="0"/>
              <w:marBottom w:val="0"/>
              <w:divBdr>
                <w:top w:val="single" w:sz="6" w:space="0" w:color="CADAE7"/>
                <w:left w:val="single" w:sz="6" w:space="0" w:color="CADAE7"/>
                <w:bottom w:val="single" w:sz="6" w:space="0" w:color="CADAE7"/>
                <w:right w:val="single" w:sz="6" w:space="0" w:color="CADAE7"/>
              </w:divBdr>
              <w:divsChild>
                <w:div w:id="6652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8393">
      <w:bodyDiv w:val="1"/>
      <w:marLeft w:val="0"/>
      <w:marRight w:val="0"/>
      <w:marTop w:val="0"/>
      <w:marBottom w:val="0"/>
      <w:divBdr>
        <w:top w:val="none" w:sz="0" w:space="0" w:color="auto"/>
        <w:left w:val="none" w:sz="0" w:space="0" w:color="auto"/>
        <w:bottom w:val="none" w:sz="0" w:space="0" w:color="auto"/>
        <w:right w:val="none" w:sz="0" w:space="0" w:color="auto"/>
      </w:divBdr>
      <w:divsChild>
        <w:div w:id="304968943">
          <w:marLeft w:val="0"/>
          <w:marRight w:val="0"/>
          <w:marTop w:val="0"/>
          <w:marBottom w:val="0"/>
          <w:divBdr>
            <w:top w:val="none" w:sz="0" w:space="0" w:color="auto"/>
            <w:left w:val="none" w:sz="0" w:space="0" w:color="auto"/>
            <w:bottom w:val="none" w:sz="0" w:space="0" w:color="auto"/>
            <w:right w:val="none" w:sz="0" w:space="0" w:color="auto"/>
          </w:divBdr>
          <w:divsChild>
            <w:div w:id="1004433493">
              <w:marLeft w:val="0"/>
              <w:marRight w:val="0"/>
              <w:marTop w:val="0"/>
              <w:marBottom w:val="0"/>
              <w:divBdr>
                <w:top w:val="none" w:sz="0" w:space="0" w:color="auto"/>
                <w:left w:val="none" w:sz="0" w:space="0" w:color="auto"/>
                <w:bottom w:val="none" w:sz="0" w:space="0" w:color="auto"/>
                <w:right w:val="none" w:sz="0" w:space="0" w:color="auto"/>
              </w:divBdr>
              <w:divsChild>
                <w:div w:id="7824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9800">
      <w:bodyDiv w:val="1"/>
      <w:marLeft w:val="0"/>
      <w:marRight w:val="0"/>
      <w:marTop w:val="0"/>
      <w:marBottom w:val="0"/>
      <w:divBdr>
        <w:top w:val="none" w:sz="0" w:space="0" w:color="auto"/>
        <w:left w:val="none" w:sz="0" w:space="0" w:color="auto"/>
        <w:bottom w:val="none" w:sz="0" w:space="0" w:color="auto"/>
        <w:right w:val="none" w:sz="0" w:space="0" w:color="auto"/>
      </w:divBdr>
    </w:div>
    <w:div w:id="813791859">
      <w:bodyDiv w:val="1"/>
      <w:marLeft w:val="0"/>
      <w:marRight w:val="0"/>
      <w:marTop w:val="0"/>
      <w:marBottom w:val="0"/>
      <w:divBdr>
        <w:top w:val="none" w:sz="0" w:space="0" w:color="auto"/>
        <w:left w:val="none" w:sz="0" w:space="0" w:color="auto"/>
        <w:bottom w:val="none" w:sz="0" w:space="0" w:color="auto"/>
        <w:right w:val="none" w:sz="0" w:space="0" w:color="auto"/>
      </w:divBdr>
    </w:div>
    <w:div w:id="830876163">
      <w:bodyDiv w:val="1"/>
      <w:marLeft w:val="0"/>
      <w:marRight w:val="0"/>
      <w:marTop w:val="0"/>
      <w:marBottom w:val="0"/>
      <w:divBdr>
        <w:top w:val="none" w:sz="0" w:space="0" w:color="auto"/>
        <w:left w:val="none" w:sz="0" w:space="0" w:color="auto"/>
        <w:bottom w:val="none" w:sz="0" w:space="0" w:color="auto"/>
        <w:right w:val="none" w:sz="0" w:space="0" w:color="auto"/>
      </w:divBdr>
    </w:div>
    <w:div w:id="890310132">
      <w:bodyDiv w:val="1"/>
      <w:marLeft w:val="0"/>
      <w:marRight w:val="0"/>
      <w:marTop w:val="0"/>
      <w:marBottom w:val="0"/>
      <w:divBdr>
        <w:top w:val="none" w:sz="0" w:space="0" w:color="auto"/>
        <w:left w:val="none" w:sz="0" w:space="0" w:color="auto"/>
        <w:bottom w:val="none" w:sz="0" w:space="0" w:color="auto"/>
        <w:right w:val="none" w:sz="0" w:space="0" w:color="auto"/>
      </w:divBdr>
    </w:div>
    <w:div w:id="891692957">
      <w:bodyDiv w:val="1"/>
      <w:marLeft w:val="0"/>
      <w:marRight w:val="0"/>
      <w:marTop w:val="0"/>
      <w:marBottom w:val="0"/>
      <w:divBdr>
        <w:top w:val="none" w:sz="0" w:space="0" w:color="auto"/>
        <w:left w:val="none" w:sz="0" w:space="0" w:color="auto"/>
        <w:bottom w:val="none" w:sz="0" w:space="0" w:color="auto"/>
        <w:right w:val="none" w:sz="0" w:space="0" w:color="auto"/>
      </w:divBdr>
    </w:div>
    <w:div w:id="898595702">
      <w:bodyDiv w:val="1"/>
      <w:marLeft w:val="0"/>
      <w:marRight w:val="0"/>
      <w:marTop w:val="0"/>
      <w:marBottom w:val="0"/>
      <w:divBdr>
        <w:top w:val="none" w:sz="0" w:space="0" w:color="auto"/>
        <w:left w:val="none" w:sz="0" w:space="0" w:color="auto"/>
        <w:bottom w:val="none" w:sz="0" w:space="0" w:color="auto"/>
        <w:right w:val="none" w:sz="0" w:space="0" w:color="auto"/>
      </w:divBdr>
    </w:div>
    <w:div w:id="970984527">
      <w:bodyDiv w:val="1"/>
      <w:marLeft w:val="0"/>
      <w:marRight w:val="0"/>
      <w:marTop w:val="0"/>
      <w:marBottom w:val="0"/>
      <w:divBdr>
        <w:top w:val="none" w:sz="0" w:space="0" w:color="auto"/>
        <w:left w:val="none" w:sz="0" w:space="0" w:color="auto"/>
        <w:bottom w:val="none" w:sz="0" w:space="0" w:color="auto"/>
        <w:right w:val="none" w:sz="0" w:space="0" w:color="auto"/>
      </w:divBdr>
    </w:div>
    <w:div w:id="975456385">
      <w:bodyDiv w:val="1"/>
      <w:marLeft w:val="0"/>
      <w:marRight w:val="0"/>
      <w:marTop w:val="0"/>
      <w:marBottom w:val="0"/>
      <w:divBdr>
        <w:top w:val="none" w:sz="0" w:space="0" w:color="auto"/>
        <w:left w:val="none" w:sz="0" w:space="0" w:color="auto"/>
        <w:bottom w:val="none" w:sz="0" w:space="0" w:color="auto"/>
        <w:right w:val="none" w:sz="0" w:space="0" w:color="auto"/>
      </w:divBdr>
      <w:divsChild>
        <w:div w:id="1656836884">
          <w:marLeft w:val="0"/>
          <w:marRight w:val="0"/>
          <w:marTop w:val="0"/>
          <w:marBottom w:val="0"/>
          <w:divBdr>
            <w:top w:val="none" w:sz="0" w:space="0" w:color="auto"/>
            <w:left w:val="none" w:sz="0" w:space="0" w:color="auto"/>
            <w:bottom w:val="none" w:sz="0" w:space="0" w:color="auto"/>
            <w:right w:val="none" w:sz="0" w:space="0" w:color="auto"/>
          </w:divBdr>
          <w:divsChild>
            <w:div w:id="84032345">
              <w:marLeft w:val="0"/>
              <w:marRight w:val="0"/>
              <w:marTop w:val="0"/>
              <w:marBottom w:val="0"/>
              <w:divBdr>
                <w:top w:val="none" w:sz="0" w:space="0" w:color="auto"/>
                <w:left w:val="none" w:sz="0" w:space="0" w:color="auto"/>
                <w:bottom w:val="none" w:sz="0" w:space="0" w:color="auto"/>
                <w:right w:val="none" w:sz="0" w:space="0" w:color="auto"/>
              </w:divBdr>
              <w:divsChild>
                <w:div w:id="11490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46992">
      <w:bodyDiv w:val="1"/>
      <w:marLeft w:val="0"/>
      <w:marRight w:val="0"/>
      <w:marTop w:val="0"/>
      <w:marBottom w:val="0"/>
      <w:divBdr>
        <w:top w:val="none" w:sz="0" w:space="0" w:color="auto"/>
        <w:left w:val="none" w:sz="0" w:space="0" w:color="auto"/>
        <w:bottom w:val="none" w:sz="0" w:space="0" w:color="auto"/>
        <w:right w:val="none" w:sz="0" w:space="0" w:color="auto"/>
      </w:divBdr>
    </w:div>
    <w:div w:id="1063018710">
      <w:bodyDiv w:val="1"/>
      <w:marLeft w:val="0"/>
      <w:marRight w:val="0"/>
      <w:marTop w:val="0"/>
      <w:marBottom w:val="0"/>
      <w:divBdr>
        <w:top w:val="none" w:sz="0" w:space="0" w:color="auto"/>
        <w:left w:val="none" w:sz="0" w:space="0" w:color="auto"/>
        <w:bottom w:val="none" w:sz="0" w:space="0" w:color="auto"/>
        <w:right w:val="none" w:sz="0" w:space="0" w:color="auto"/>
      </w:divBdr>
    </w:div>
    <w:div w:id="1074742293">
      <w:bodyDiv w:val="1"/>
      <w:marLeft w:val="0"/>
      <w:marRight w:val="0"/>
      <w:marTop w:val="0"/>
      <w:marBottom w:val="0"/>
      <w:divBdr>
        <w:top w:val="none" w:sz="0" w:space="0" w:color="auto"/>
        <w:left w:val="none" w:sz="0" w:space="0" w:color="auto"/>
        <w:bottom w:val="none" w:sz="0" w:space="0" w:color="auto"/>
        <w:right w:val="none" w:sz="0" w:space="0" w:color="auto"/>
      </w:divBdr>
    </w:div>
    <w:div w:id="1088649447">
      <w:bodyDiv w:val="1"/>
      <w:marLeft w:val="0"/>
      <w:marRight w:val="0"/>
      <w:marTop w:val="0"/>
      <w:marBottom w:val="0"/>
      <w:divBdr>
        <w:top w:val="none" w:sz="0" w:space="0" w:color="auto"/>
        <w:left w:val="none" w:sz="0" w:space="0" w:color="auto"/>
        <w:bottom w:val="none" w:sz="0" w:space="0" w:color="auto"/>
        <w:right w:val="none" w:sz="0" w:space="0" w:color="auto"/>
      </w:divBdr>
    </w:div>
    <w:div w:id="1102186391">
      <w:bodyDiv w:val="1"/>
      <w:marLeft w:val="0"/>
      <w:marRight w:val="0"/>
      <w:marTop w:val="0"/>
      <w:marBottom w:val="0"/>
      <w:divBdr>
        <w:top w:val="none" w:sz="0" w:space="0" w:color="auto"/>
        <w:left w:val="none" w:sz="0" w:space="0" w:color="auto"/>
        <w:bottom w:val="none" w:sz="0" w:space="0" w:color="auto"/>
        <w:right w:val="none" w:sz="0" w:space="0" w:color="auto"/>
      </w:divBdr>
    </w:div>
    <w:div w:id="1105227474">
      <w:bodyDiv w:val="1"/>
      <w:marLeft w:val="0"/>
      <w:marRight w:val="0"/>
      <w:marTop w:val="0"/>
      <w:marBottom w:val="0"/>
      <w:divBdr>
        <w:top w:val="none" w:sz="0" w:space="0" w:color="auto"/>
        <w:left w:val="none" w:sz="0" w:space="0" w:color="auto"/>
        <w:bottom w:val="none" w:sz="0" w:space="0" w:color="auto"/>
        <w:right w:val="none" w:sz="0" w:space="0" w:color="auto"/>
      </w:divBdr>
    </w:div>
    <w:div w:id="1130708297">
      <w:bodyDiv w:val="1"/>
      <w:marLeft w:val="0"/>
      <w:marRight w:val="0"/>
      <w:marTop w:val="0"/>
      <w:marBottom w:val="0"/>
      <w:divBdr>
        <w:top w:val="none" w:sz="0" w:space="0" w:color="auto"/>
        <w:left w:val="none" w:sz="0" w:space="0" w:color="auto"/>
        <w:bottom w:val="none" w:sz="0" w:space="0" w:color="auto"/>
        <w:right w:val="none" w:sz="0" w:space="0" w:color="auto"/>
      </w:divBdr>
    </w:div>
    <w:div w:id="1140070196">
      <w:bodyDiv w:val="1"/>
      <w:marLeft w:val="0"/>
      <w:marRight w:val="0"/>
      <w:marTop w:val="0"/>
      <w:marBottom w:val="0"/>
      <w:divBdr>
        <w:top w:val="none" w:sz="0" w:space="0" w:color="auto"/>
        <w:left w:val="none" w:sz="0" w:space="0" w:color="auto"/>
        <w:bottom w:val="none" w:sz="0" w:space="0" w:color="auto"/>
        <w:right w:val="none" w:sz="0" w:space="0" w:color="auto"/>
      </w:divBdr>
    </w:div>
    <w:div w:id="1142699627">
      <w:bodyDiv w:val="1"/>
      <w:marLeft w:val="0"/>
      <w:marRight w:val="0"/>
      <w:marTop w:val="0"/>
      <w:marBottom w:val="0"/>
      <w:divBdr>
        <w:top w:val="none" w:sz="0" w:space="0" w:color="auto"/>
        <w:left w:val="none" w:sz="0" w:space="0" w:color="auto"/>
        <w:bottom w:val="none" w:sz="0" w:space="0" w:color="auto"/>
        <w:right w:val="none" w:sz="0" w:space="0" w:color="auto"/>
      </w:divBdr>
    </w:div>
    <w:div w:id="1155150424">
      <w:bodyDiv w:val="1"/>
      <w:marLeft w:val="0"/>
      <w:marRight w:val="0"/>
      <w:marTop w:val="0"/>
      <w:marBottom w:val="0"/>
      <w:divBdr>
        <w:top w:val="none" w:sz="0" w:space="0" w:color="auto"/>
        <w:left w:val="none" w:sz="0" w:space="0" w:color="auto"/>
        <w:bottom w:val="none" w:sz="0" w:space="0" w:color="auto"/>
        <w:right w:val="none" w:sz="0" w:space="0" w:color="auto"/>
      </w:divBdr>
    </w:div>
    <w:div w:id="1167787720">
      <w:bodyDiv w:val="1"/>
      <w:marLeft w:val="0"/>
      <w:marRight w:val="0"/>
      <w:marTop w:val="0"/>
      <w:marBottom w:val="0"/>
      <w:divBdr>
        <w:top w:val="none" w:sz="0" w:space="0" w:color="auto"/>
        <w:left w:val="none" w:sz="0" w:space="0" w:color="auto"/>
        <w:bottom w:val="none" w:sz="0" w:space="0" w:color="auto"/>
        <w:right w:val="none" w:sz="0" w:space="0" w:color="auto"/>
      </w:divBdr>
    </w:div>
    <w:div w:id="1168597062">
      <w:bodyDiv w:val="1"/>
      <w:marLeft w:val="0"/>
      <w:marRight w:val="0"/>
      <w:marTop w:val="0"/>
      <w:marBottom w:val="0"/>
      <w:divBdr>
        <w:top w:val="none" w:sz="0" w:space="0" w:color="auto"/>
        <w:left w:val="none" w:sz="0" w:space="0" w:color="auto"/>
        <w:bottom w:val="none" w:sz="0" w:space="0" w:color="auto"/>
        <w:right w:val="none" w:sz="0" w:space="0" w:color="auto"/>
      </w:divBdr>
    </w:div>
    <w:div w:id="1180856656">
      <w:bodyDiv w:val="1"/>
      <w:marLeft w:val="0"/>
      <w:marRight w:val="0"/>
      <w:marTop w:val="0"/>
      <w:marBottom w:val="0"/>
      <w:divBdr>
        <w:top w:val="none" w:sz="0" w:space="0" w:color="auto"/>
        <w:left w:val="none" w:sz="0" w:space="0" w:color="auto"/>
        <w:bottom w:val="none" w:sz="0" w:space="0" w:color="auto"/>
        <w:right w:val="none" w:sz="0" w:space="0" w:color="auto"/>
      </w:divBdr>
    </w:div>
    <w:div w:id="1185560169">
      <w:bodyDiv w:val="1"/>
      <w:marLeft w:val="0"/>
      <w:marRight w:val="0"/>
      <w:marTop w:val="0"/>
      <w:marBottom w:val="0"/>
      <w:divBdr>
        <w:top w:val="none" w:sz="0" w:space="0" w:color="auto"/>
        <w:left w:val="none" w:sz="0" w:space="0" w:color="auto"/>
        <w:bottom w:val="none" w:sz="0" w:space="0" w:color="auto"/>
        <w:right w:val="none" w:sz="0" w:space="0" w:color="auto"/>
      </w:divBdr>
    </w:div>
    <w:div w:id="1198618510">
      <w:bodyDiv w:val="1"/>
      <w:marLeft w:val="0"/>
      <w:marRight w:val="0"/>
      <w:marTop w:val="0"/>
      <w:marBottom w:val="0"/>
      <w:divBdr>
        <w:top w:val="none" w:sz="0" w:space="0" w:color="auto"/>
        <w:left w:val="none" w:sz="0" w:space="0" w:color="auto"/>
        <w:bottom w:val="none" w:sz="0" w:space="0" w:color="auto"/>
        <w:right w:val="none" w:sz="0" w:space="0" w:color="auto"/>
      </w:divBdr>
    </w:div>
    <w:div w:id="1227300374">
      <w:bodyDiv w:val="1"/>
      <w:marLeft w:val="0"/>
      <w:marRight w:val="0"/>
      <w:marTop w:val="0"/>
      <w:marBottom w:val="0"/>
      <w:divBdr>
        <w:top w:val="none" w:sz="0" w:space="0" w:color="auto"/>
        <w:left w:val="none" w:sz="0" w:space="0" w:color="auto"/>
        <w:bottom w:val="none" w:sz="0" w:space="0" w:color="auto"/>
        <w:right w:val="none" w:sz="0" w:space="0" w:color="auto"/>
      </w:divBdr>
    </w:div>
    <w:div w:id="1230531360">
      <w:bodyDiv w:val="1"/>
      <w:marLeft w:val="0"/>
      <w:marRight w:val="0"/>
      <w:marTop w:val="0"/>
      <w:marBottom w:val="0"/>
      <w:divBdr>
        <w:top w:val="none" w:sz="0" w:space="0" w:color="auto"/>
        <w:left w:val="none" w:sz="0" w:space="0" w:color="auto"/>
        <w:bottom w:val="none" w:sz="0" w:space="0" w:color="auto"/>
        <w:right w:val="none" w:sz="0" w:space="0" w:color="auto"/>
      </w:divBdr>
    </w:div>
    <w:div w:id="1238394137">
      <w:bodyDiv w:val="1"/>
      <w:marLeft w:val="0"/>
      <w:marRight w:val="0"/>
      <w:marTop w:val="0"/>
      <w:marBottom w:val="0"/>
      <w:divBdr>
        <w:top w:val="none" w:sz="0" w:space="0" w:color="auto"/>
        <w:left w:val="none" w:sz="0" w:space="0" w:color="auto"/>
        <w:bottom w:val="none" w:sz="0" w:space="0" w:color="auto"/>
        <w:right w:val="none" w:sz="0" w:space="0" w:color="auto"/>
      </w:divBdr>
    </w:div>
    <w:div w:id="1244989429">
      <w:bodyDiv w:val="1"/>
      <w:marLeft w:val="0"/>
      <w:marRight w:val="0"/>
      <w:marTop w:val="0"/>
      <w:marBottom w:val="0"/>
      <w:divBdr>
        <w:top w:val="none" w:sz="0" w:space="0" w:color="auto"/>
        <w:left w:val="none" w:sz="0" w:space="0" w:color="auto"/>
        <w:bottom w:val="none" w:sz="0" w:space="0" w:color="auto"/>
        <w:right w:val="none" w:sz="0" w:space="0" w:color="auto"/>
      </w:divBdr>
    </w:div>
    <w:div w:id="1246379206">
      <w:bodyDiv w:val="1"/>
      <w:marLeft w:val="0"/>
      <w:marRight w:val="0"/>
      <w:marTop w:val="0"/>
      <w:marBottom w:val="0"/>
      <w:divBdr>
        <w:top w:val="none" w:sz="0" w:space="0" w:color="auto"/>
        <w:left w:val="none" w:sz="0" w:space="0" w:color="auto"/>
        <w:bottom w:val="none" w:sz="0" w:space="0" w:color="auto"/>
        <w:right w:val="none" w:sz="0" w:space="0" w:color="auto"/>
      </w:divBdr>
    </w:div>
    <w:div w:id="1248421577">
      <w:bodyDiv w:val="1"/>
      <w:marLeft w:val="0"/>
      <w:marRight w:val="0"/>
      <w:marTop w:val="0"/>
      <w:marBottom w:val="0"/>
      <w:divBdr>
        <w:top w:val="none" w:sz="0" w:space="0" w:color="auto"/>
        <w:left w:val="none" w:sz="0" w:space="0" w:color="auto"/>
        <w:bottom w:val="none" w:sz="0" w:space="0" w:color="auto"/>
        <w:right w:val="none" w:sz="0" w:space="0" w:color="auto"/>
      </w:divBdr>
      <w:divsChild>
        <w:div w:id="1301886635">
          <w:marLeft w:val="0"/>
          <w:marRight w:val="0"/>
          <w:marTop w:val="0"/>
          <w:marBottom w:val="0"/>
          <w:divBdr>
            <w:top w:val="none" w:sz="0" w:space="0" w:color="auto"/>
            <w:left w:val="none" w:sz="0" w:space="0" w:color="auto"/>
            <w:bottom w:val="none" w:sz="0" w:space="0" w:color="auto"/>
            <w:right w:val="none" w:sz="0" w:space="0" w:color="auto"/>
          </w:divBdr>
          <w:divsChild>
            <w:div w:id="1280457227">
              <w:marLeft w:val="0"/>
              <w:marRight w:val="0"/>
              <w:marTop w:val="100"/>
              <w:marBottom w:val="100"/>
              <w:divBdr>
                <w:top w:val="none" w:sz="0" w:space="0" w:color="auto"/>
                <w:left w:val="none" w:sz="0" w:space="0" w:color="auto"/>
                <w:bottom w:val="none" w:sz="0" w:space="0" w:color="auto"/>
                <w:right w:val="none" w:sz="0" w:space="0" w:color="auto"/>
              </w:divBdr>
              <w:divsChild>
                <w:div w:id="821392034">
                  <w:marLeft w:val="0"/>
                  <w:marRight w:val="0"/>
                  <w:marTop w:val="0"/>
                  <w:marBottom w:val="0"/>
                  <w:divBdr>
                    <w:top w:val="none" w:sz="0" w:space="0" w:color="auto"/>
                    <w:left w:val="none" w:sz="0" w:space="0" w:color="auto"/>
                    <w:bottom w:val="none" w:sz="0" w:space="0" w:color="auto"/>
                    <w:right w:val="none" w:sz="0" w:space="0" w:color="auto"/>
                  </w:divBdr>
                  <w:divsChild>
                    <w:div w:id="541937724">
                      <w:marLeft w:val="0"/>
                      <w:marRight w:val="0"/>
                      <w:marTop w:val="225"/>
                      <w:marBottom w:val="0"/>
                      <w:divBdr>
                        <w:top w:val="none" w:sz="0" w:space="0" w:color="auto"/>
                        <w:left w:val="none" w:sz="0" w:space="0" w:color="auto"/>
                        <w:bottom w:val="none" w:sz="0" w:space="0" w:color="auto"/>
                        <w:right w:val="none" w:sz="0" w:space="0" w:color="auto"/>
                      </w:divBdr>
                      <w:divsChild>
                        <w:div w:id="10993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926405">
      <w:bodyDiv w:val="1"/>
      <w:marLeft w:val="0"/>
      <w:marRight w:val="0"/>
      <w:marTop w:val="0"/>
      <w:marBottom w:val="0"/>
      <w:divBdr>
        <w:top w:val="none" w:sz="0" w:space="0" w:color="auto"/>
        <w:left w:val="none" w:sz="0" w:space="0" w:color="auto"/>
        <w:bottom w:val="none" w:sz="0" w:space="0" w:color="auto"/>
        <w:right w:val="none" w:sz="0" w:space="0" w:color="auto"/>
      </w:divBdr>
      <w:divsChild>
        <w:div w:id="1698895018">
          <w:marLeft w:val="0"/>
          <w:marRight w:val="0"/>
          <w:marTop w:val="0"/>
          <w:marBottom w:val="0"/>
          <w:divBdr>
            <w:top w:val="none" w:sz="0" w:space="0" w:color="auto"/>
            <w:left w:val="none" w:sz="0" w:space="0" w:color="auto"/>
            <w:bottom w:val="none" w:sz="0" w:space="0" w:color="auto"/>
            <w:right w:val="none" w:sz="0" w:space="0" w:color="auto"/>
          </w:divBdr>
          <w:divsChild>
            <w:div w:id="1477914079">
              <w:marLeft w:val="0"/>
              <w:marRight w:val="0"/>
              <w:marTop w:val="0"/>
              <w:marBottom w:val="0"/>
              <w:divBdr>
                <w:top w:val="none" w:sz="0" w:space="0" w:color="auto"/>
                <w:left w:val="none" w:sz="0" w:space="0" w:color="auto"/>
                <w:bottom w:val="none" w:sz="0" w:space="0" w:color="auto"/>
                <w:right w:val="none" w:sz="0" w:space="0" w:color="auto"/>
              </w:divBdr>
              <w:divsChild>
                <w:div w:id="425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38721">
      <w:bodyDiv w:val="1"/>
      <w:marLeft w:val="0"/>
      <w:marRight w:val="0"/>
      <w:marTop w:val="0"/>
      <w:marBottom w:val="0"/>
      <w:divBdr>
        <w:top w:val="none" w:sz="0" w:space="0" w:color="auto"/>
        <w:left w:val="none" w:sz="0" w:space="0" w:color="auto"/>
        <w:bottom w:val="none" w:sz="0" w:space="0" w:color="auto"/>
        <w:right w:val="none" w:sz="0" w:space="0" w:color="auto"/>
      </w:divBdr>
    </w:div>
    <w:div w:id="1293441425">
      <w:bodyDiv w:val="1"/>
      <w:marLeft w:val="0"/>
      <w:marRight w:val="0"/>
      <w:marTop w:val="0"/>
      <w:marBottom w:val="0"/>
      <w:divBdr>
        <w:top w:val="none" w:sz="0" w:space="0" w:color="auto"/>
        <w:left w:val="none" w:sz="0" w:space="0" w:color="auto"/>
        <w:bottom w:val="none" w:sz="0" w:space="0" w:color="auto"/>
        <w:right w:val="none" w:sz="0" w:space="0" w:color="auto"/>
      </w:divBdr>
    </w:div>
    <w:div w:id="1305619284">
      <w:bodyDiv w:val="1"/>
      <w:marLeft w:val="0"/>
      <w:marRight w:val="0"/>
      <w:marTop w:val="0"/>
      <w:marBottom w:val="0"/>
      <w:divBdr>
        <w:top w:val="none" w:sz="0" w:space="0" w:color="auto"/>
        <w:left w:val="none" w:sz="0" w:space="0" w:color="auto"/>
        <w:bottom w:val="none" w:sz="0" w:space="0" w:color="auto"/>
        <w:right w:val="none" w:sz="0" w:space="0" w:color="auto"/>
      </w:divBdr>
    </w:div>
    <w:div w:id="1322470185">
      <w:bodyDiv w:val="1"/>
      <w:marLeft w:val="0"/>
      <w:marRight w:val="0"/>
      <w:marTop w:val="0"/>
      <w:marBottom w:val="0"/>
      <w:divBdr>
        <w:top w:val="none" w:sz="0" w:space="0" w:color="auto"/>
        <w:left w:val="none" w:sz="0" w:space="0" w:color="auto"/>
        <w:bottom w:val="none" w:sz="0" w:space="0" w:color="auto"/>
        <w:right w:val="none" w:sz="0" w:space="0" w:color="auto"/>
      </w:divBdr>
    </w:div>
    <w:div w:id="1339307494">
      <w:bodyDiv w:val="1"/>
      <w:marLeft w:val="0"/>
      <w:marRight w:val="0"/>
      <w:marTop w:val="0"/>
      <w:marBottom w:val="0"/>
      <w:divBdr>
        <w:top w:val="none" w:sz="0" w:space="0" w:color="auto"/>
        <w:left w:val="none" w:sz="0" w:space="0" w:color="auto"/>
        <w:bottom w:val="none" w:sz="0" w:space="0" w:color="auto"/>
        <w:right w:val="none" w:sz="0" w:space="0" w:color="auto"/>
      </w:divBdr>
    </w:div>
    <w:div w:id="1363359462">
      <w:bodyDiv w:val="1"/>
      <w:marLeft w:val="0"/>
      <w:marRight w:val="0"/>
      <w:marTop w:val="0"/>
      <w:marBottom w:val="0"/>
      <w:divBdr>
        <w:top w:val="none" w:sz="0" w:space="0" w:color="auto"/>
        <w:left w:val="none" w:sz="0" w:space="0" w:color="auto"/>
        <w:bottom w:val="none" w:sz="0" w:space="0" w:color="auto"/>
        <w:right w:val="none" w:sz="0" w:space="0" w:color="auto"/>
      </w:divBdr>
    </w:div>
    <w:div w:id="1373264430">
      <w:bodyDiv w:val="1"/>
      <w:marLeft w:val="0"/>
      <w:marRight w:val="0"/>
      <w:marTop w:val="0"/>
      <w:marBottom w:val="0"/>
      <w:divBdr>
        <w:top w:val="none" w:sz="0" w:space="0" w:color="auto"/>
        <w:left w:val="none" w:sz="0" w:space="0" w:color="auto"/>
        <w:bottom w:val="none" w:sz="0" w:space="0" w:color="auto"/>
        <w:right w:val="none" w:sz="0" w:space="0" w:color="auto"/>
      </w:divBdr>
    </w:div>
    <w:div w:id="1389767335">
      <w:bodyDiv w:val="1"/>
      <w:marLeft w:val="0"/>
      <w:marRight w:val="0"/>
      <w:marTop w:val="0"/>
      <w:marBottom w:val="0"/>
      <w:divBdr>
        <w:top w:val="none" w:sz="0" w:space="0" w:color="auto"/>
        <w:left w:val="none" w:sz="0" w:space="0" w:color="auto"/>
        <w:bottom w:val="none" w:sz="0" w:space="0" w:color="auto"/>
        <w:right w:val="none" w:sz="0" w:space="0" w:color="auto"/>
      </w:divBdr>
      <w:divsChild>
        <w:div w:id="1333532102">
          <w:marLeft w:val="0"/>
          <w:marRight w:val="0"/>
          <w:marTop w:val="0"/>
          <w:marBottom w:val="0"/>
          <w:divBdr>
            <w:top w:val="none" w:sz="0" w:space="0" w:color="auto"/>
            <w:left w:val="none" w:sz="0" w:space="0" w:color="auto"/>
            <w:bottom w:val="none" w:sz="0" w:space="0" w:color="auto"/>
            <w:right w:val="none" w:sz="0" w:space="0" w:color="auto"/>
          </w:divBdr>
          <w:divsChild>
            <w:div w:id="236015577">
              <w:marLeft w:val="0"/>
              <w:marRight w:val="0"/>
              <w:marTop w:val="100"/>
              <w:marBottom w:val="100"/>
              <w:divBdr>
                <w:top w:val="none" w:sz="0" w:space="0" w:color="auto"/>
                <w:left w:val="none" w:sz="0" w:space="0" w:color="auto"/>
                <w:bottom w:val="none" w:sz="0" w:space="0" w:color="auto"/>
                <w:right w:val="none" w:sz="0" w:space="0" w:color="auto"/>
              </w:divBdr>
              <w:divsChild>
                <w:div w:id="527257989">
                  <w:marLeft w:val="0"/>
                  <w:marRight w:val="0"/>
                  <w:marTop w:val="0"/>
                  <w:marBottom w:val="0"/>
                  <w:divBdr>
                    <w:top w:val="none" w:sz="0" w:space="0" w:color="auto"/>
                    <w:left w:val="none" w:sz="0" w:space="0" w:color="auto"/>
                    <w:bottom w:val="none" w:sz="0" w:space="0" w:color="auto"/>
                    <w:right w:val="none" w:sz="0" w:space="0" w:color="auto"/>
                  </w:divBdr>
                  <w:divsChild>
                    <w:div w:id="1283416428">
                      <w:marLeft w:val="0"/>
                      <w:marRight w:val="0"/>
                      <w:marTop w:val="225"/>
                      <w:marBottom w:val="0"/>
                      <w:divBdr>
                        <w:top w:val="none" w:sz="0" w:space="0" w:color="auto"/>
                        <w:left w:val="none" w:sz="0" w:space="0" w:color="auto"/>
                        <w:bottom w:val="none" w:sz="0" w:space="0" w:color="auto"/>
                        <w:right w:val="none" w:sz="0" w:space="0" w:color="auto"/>
                      </w:divBdr>
                      <w:divsChild>
                        <w:div w:id="1246259059">
                          <w:marLeft w:val="0"/>
                          <w:marRight w:val="0"/>
                          <w:marTop w:val="0"/>
                          <w:marBottom w:val="0"/>
                          <w:divBdr>
                            <w:top w:val="none" w:sz="0" w:space="0" w:color="auto"/>
                            <w:left w:val="none" w:sz="0" w:space="0" w:color="auto"/>
                            <w:bottom w:val="none" w:sz="0" w:space="0" w:color="auto"/>
                            <w:right w:val="none" w:sz="0" w:space="0" w:color="auto"/>
                          </w:divBdr>
                          <w:divsChild>
                            <w:div w:id="2130973305">
                              <w:marLeft w:val="0"/>
                              <w:marRight w:val="0"/>
                              <w:marTop w:val="0"/>
                              <w:marBottom w:val="0"/>
                              <w:divBdr>
                                <w:top w:val="none" w:sz="0" w:space="0" w:color="auto"/>
                                <w:left w:val="none" w:sz="0" w:space="0" w:color="auto"/>
                                <w:bottom w:val="none" w:sz="0" w:space="0" w:color="auto"/>
                                <w:right w:val="none" w:sz="0" w:space="0" w:color="auto"/>
                              </w:divBdr>
                              <w:divsChild>
                                <w:div w:id="6375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053844">
      <w:bodyDiv w:val="1"/>
      <w:marLeft w:val="0"/>
      <w:marRight w:val="0"/>
      <w:marTop w:val="0"/>
      <w:marBottom w:val="0"/>
      <w:divBdr>
        <w:top w:val="none" w:sz="0" w:space="0" w:color="auto"/>
        <w:left w:val="none" w:sz="0" w:space="0" w:color="auto"/>
        <w:bottom w:val="none" w:sz="0" w:space="0" w:color="auto"/>
        <w:right w:val="none" w:sz="0" w:space="0" w:color="auto"/>
      </w:divBdr>
    </w:div>
    <w:div w:id="1402605486">
      <w:bodyDiv w:val="1"/>
      <w:marLeft w:val="0"/>
      <w:marRight w:val="0"/>
      <w:marTop w:val="0"/>
      <w:marBottom w:val="0"/>
      <w:divBdr>
        <w:top w:val="none" w:sz="0" w:space="0" w:color="auto"/>
        <w:left w:val="none" w:sz="0" w:space="0" w:color="auto"/>
        <w:bottom w:val="none" w:sz="0" w:space="0" w:color="auto"/>
        <w:right w:val="none" w:sz="0" w:space="0" w:color="auto"/>
      </w:divBdr>
      <w:divsChild>
        <w:div w:id="548033744">
          <w:marLeft w:val="0"/>
          <w:marRight w:val="0"/>
          <w:marTop w:val="0"/>
          <w:marBottom w:val="0"/>
          <w:divBdr>
            <w:top w:val="none" w:sz="0" w:space="0" w:color="auto"/>
            <w:left w:val="none" w:sz="0" w:space="0" w:color="auto"/>
            <w:bottom w:val="none" w:sz="0" w:space="0" w:color="auto"/>
            <w:right w:val="none" w:sz="0" w:space="0" w:color="auto"/>
          </w:divBdr>
          <w:divsChild>
            <w:div w:id="1299843330">
              <w:marLeft w:val="0"/>
              <w:marRight w:val="0"/>
              <w:marTop w:val="0"/>
              <w:marBottom w:val="0"/>
              <w:divBdr>
                <w:top w:val="none" w:sz="0" w:space="0" w:color="auto"/>
                <w:left w:val="none" w:sz="0" w:space="0" w:color="auto"/>
                <w:bottom w:val="none" w:sz="0" w:space="0" w:color="auto"/>
                <w:right w:val="none" w:sz="0" w:space="0" w:color="auto"/>
              </w:divBdr>
              <w:divsChild>
                <w:div w:id="21121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9670">
      <w:bodyDiv w:val="1"/>
      <w:marLeft w:val="0"/>
      <w:marRight w:val="0"/>
      <w:marTop w:val="0"/>
      <w:marBottom w:val="0"/>
      <w:divBdr>
        <w:top w:val="none" w:sz="0" w:space="0" w:color="auto"/>
        <w:left w:val="none" w:sz="0" w:space="0" w:color="auto"/>
        <w:bottom w:val="none" w:sz="0" w:space="0" w:color="auto"/>
        <w:right w:val="none" w:sz="0" w:space="0" w:color="auto"/>
      </w:divBdr>
    </w:div>
    <w:div w:id="1419015362">
      <w:bodyDiv w:val="1"/>
      <w:marLeft w:val="0"/>
      <w:marRight w:val="0"/>
      <w:marTop w:val="0"/>
      <w:marBottom w:val="0"/>
      <w:divBdr>
        <w:top w:val="none" w:sz="0" w:space="0" w:color="auto"/>
        <w:left w:val="none" w:sz="0" w:space="0" w:color="auto"/>
        <w:bottom w:val="none" w:sz="0" w:space="0" w:color="auto"/>
        <w:right w:val="none" w:sz="0" w:space="0" w:color="auto"/>
      </w:divBdr>
    </w:div>
    <w:div w:id="1421874416">
      <w:bodyDiv w:val="1"/>
      <w:marLeft w:val="0"/>
      <w:marRight w:val="0"/>
      <w:marTop w:val="0"/>
      <w:marBottom w:val="0"/>
      <w:divBdr>
        <w:top w:val="none" w:sz="0" w:space="0" w:color="auto"/>
        <w:left w:val="none" w:sz="0" w:space="0" w:color="auto"/>
        <w:bottom w:val="none" w:sz="0" w:space="0" w:color="auto"/>
        <w:right w:val="none" w:sz="0" w:space="0" w:color="auto"/>
      </w:divBdr>
    </w:div>
    <w:div w:id="1484656602">
      <w:bodyDiv w:val="1"/>
      <w:marLeft w:val="0"/>
      <w:marRight w:val="0"/>
      <w:marTop w:val="0"/>
      <w:marBottom w:val="0"/>
      <w:divBdr>
        <w:top w:val="none" w:sz="0" w:space="0" w:color="auto"/>
        <w:left w:val="none" w:sz="0" w:space="0" w:color="auto"/>
        <w:bottom w:val="none" w:sz="0" w:space="0" w:color="auto"/>
        <w:right w:val="none" w:sz="0" w:space="0" w:color="auto"/>
      </w:divBdr>
    </w:div>
    <w:div w:id="1513378386">
      <w:bodyDiv w:val="1"/>
      <w:marLeft w:val="0"/>
      <w:marRight w:val="0"/>
      <w:marTop w:val="0"/>
      <w:marBottom w:val="0"/>
      <w:divBdr>
        <w:top w:val="none" w:sz="0" w:space="0" w:color="auto"/>
        <w:left w:val="none" w:sz="0" w:space="0" w:color="auto"/>
        <w:bottom w:val="none" w:sz="0" w:space="0" w:color="auto"/>
        <w:right w:val="none" w:sz="0" w:space="0" w:color="auto"/>
      </w:divBdr>
    </w:div>
    <w:div w:id="1516110484">
      <w:bodyDiv w:val="1"/>
      <w:marLeft w:val="0"/>
      <w:marRight w:val="0"/>
      <w:marTop w:val="0"/>
      <w:marBottom w:val="0"/>
      <w:divBdr>
        <w:top w:val="none" w:sz="0" w:space="0" w:color="auto"/>
        <w:left w:val="none" w:sz="0" w:space="0" w:color="auto"/>
        <w:bottom w:val="none" w:sz="0" w:space="0" w:color="auto"/>
        <w:right w:val="none" w:sz="0" w:space="0" w:color="auto"/>
      </w:divBdr>
    </w:div>
    <w:div w:id="1516723622">
      <w:bodyDiv w:val="1"/>
      <w:marLeft w:val="0"/>
      <w:marRight w:val="0"/>
      <w:marTop w:val="0"/>
      <w:marBottom w:val="0"/>
      <w:divBdr>
        <w:top w:val="none" w:sz="0" w:space="0" w:color="auto"/>
        <w:left w:val="none" w:sz="0" w:space="0" w:color="auto"/>
        <w:bottom w:val="none" w:sz="0" w:space="0" w:color="auto"/>
        <w:right w:val="none" w:sz="0" w:space="0" w:color="auto"/>
      </w:divBdr>
    </w:div>
    <w:div w:id="1624120230">
      <w:bodyDiv w:val="1"/>
      <w:marLeft w:val="0"/>
      <w:marRight w:val="0"/>
      <w:marTop w:val="0"/>
      <w:marBottom w:val="0"/>
      <w:divBdr>
        <w:top w:val="none" w:sz="0" w:space="0" w:color="auto"/>
        <w:left w:val="none" w:sz="0" w:space="0" w:color="auto"/>
        <w:bottom w:val="none" w:sz="0" w:space="0" w:color="auto"/>
        <w:right w:val="none" w:sz="0" w:space="0" w:color="auto"/>
      </w:divBdr>
    </w:div>
    <w:div w:id="1625237580">
      <w:bodyDiv w:val="1"/>
      <w:marLeft w:val="0"/>
      <w:marRight w:val="0"/>
      <w:marTop w:val="0"/>
      <w:marBottom w:val="0"/>
      <w:divBdr>
        <w:top w:val="none" w:sz="0" w:space="0" w:color="auto"/>
        <w:left w:val="none" w:sz="0" w:space="0" w:color="auto"/>
        <w:bottom w:val="none" w:sz="0" w:space="0" w:color="auto"/>
        <w:right w:val="none" w:sz="0" w:space="0" w:color="auto"/>
      </w:divBdr>
    </w:div>
    <w:div w:id="1630891546">
      <w:bodyDiv w:val="1"/>
      <w:marLeft w:val="0"/>
      <w:marRight w:val="0"/>
      <w:marTop w:val="0"/>
      <w:marBottom w:val="0"/>
      <w:divBdr>
        <w:top w:val="none" w:sz="0" w:space="0" w:color="auto"/>
        <w:left w:val="none" w:sz="0" w:space="0" w:color="auto"/>
        <w:bottom w:val="none" w:sz="0" w:space="0" w:color="auto"/>
        <w:right w:val="none" w:sz="0" w:space="0" w:color="auto"/>
      </w:divBdr>
      <w:divsChild>
        <w:div w:id="1209338336">
          <w:marLeft w:val="0"/>
          <w:marRight w:val="0"/>
          <w:marTop w:val="0"/>
          <w:marBottom w:val="0"/>
          <w:divBdr>
            <w:top w:val="none" w:sz="0" w:space="0" w:color="auto"/>
            <w:left w:val="none" w:sz="0" w:space="0" w:color="auto"/>
            <w:bottom w:val="none" w:sz="0" w:space="0" w:color="auto"/>
            <w:right w:val="none" w:sz="0" w:space="0" w:color="auto"/>
          </w:divBdr>
          <w:divsChild>
            <w:div w:id="212349824">
              <w:marLeft w:val="0"/>
              <w:marRight w:val="0"/>
              <w:marTop w:val="0"/>
              <w:marBottom w:val="0"/>
              <w:divBdr>
                <w:top w:val="none" w:sz="0" w:space="0" w:color="auto"/>
                <w:left w:val="none" w:sz="0" w:space="0" w:color="auto"/>
                <w:bottom w:val="none" w:sz="0" w:space="0" w:color="auto"/>
                <w:right w:val="none" w:sz="0" w:space="0" w:color="auto"/>
              </w:divBdr>
              <w:divsChild>
                <w:div w:id="7675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3191">
      <w:bodyDiv w:val="1"/>
      <w:marLeft w:val="0"/>
      <w:marRight w:val="0"/>
      <w:marTop w:val="0"/>
      <w:marBottom w:val="0"/>
      <w:divBdr>
        <w:top w:val="none" w:sz="0" w:space="0" w:color="auto"/>
        <w:left w:val="none" w:sz="0" w:space="0" w:color="auto"/>
        <w:bottom w:val="none" w:sz="0" w:space="0" w:color="auto"/>
        <w:right w:val="none" w:sz="0" w:space="0" w:color="auto"/>
      </w:divBdr>
    </w:div>
    <w:div w:id="1665938631">
      <w:bodyDiv w:val="1"/>
      <w:marLeft w:val="0"/>
      <w:marRight w:val="0"/>
      <w:marTop w:val="0"/>
      <w:marBottom w:val="0"/>
      <w:divBdr>
        <w:top w:val="none" w:sz="0" w:space="0" w:color="auto"/>
        <w:left w:val="none" w:sz="0" w:space="0" w:color="auto"/>
        <w:bottom w:val="none" w:sz="0" w:space="0" w:color="auto"/>
        <w:right w:val="none" w:sz="0" w:space="0" w:color="auto"/>
      </w:divBdr>
    </w:div>
    <w:div w:id="1674843031">
      <w:bodyDiv w:val="1"/>
      <w:marLeft w:val="0"/>
      <w:marRight w:val="0"/>
      <w:marTop w:val="0"/>
      <w:marBottom w:val="0"/>
      <w:divBdr>
        <w:top w:val="none" w:sz="0" w:space="0" w:color="auto"/>
        <w:left w:val="none" w:sz="0" w:space="0" w:color="auto"/>
        <w:bottom w:val="none" w:sz="0" w:space="0" w:color="auto"/>
        <w:right w:val="none" w:sz="0" w:space="0" w:color="auto"/>
      </w:divBdr>
      <w:divsChild>
        <w:div w:id="983504763">
          <w:marLeft w:val="0"/>
          <w:marRight w:val="0"/>
          <w:marTop w:val="0"/>
          <w:marBottom w:val="0"/>
          <w:divBdr>
            <w:top w:val="none" w:sz="0" w:space="0" w:color="auto"/>
            <w:left w:val="none" w:sz="0" w:space="0" w:color="auto"/>
            <w:bottom w:val="none" w:sz="0" w:space="0" w:color="auto"/>
            <w:right w:val="none" w:sz="0" w:space="0" w:color="auto"/>
          </w:divBdr>
          <w:divsChild>
            <w:div w:id="1646473561">
              <w:marLeft w:val="0"/>
              <w:marRight w:val="0"/>
              <w:marTop w:val="100"/>
              <w:marBottom w:val="100"/>
              <w:divBdr>
                <w:top w:val="none" w:sz="0" w:space="0" w:color="auto"/>
                <w:left w:val="none" w:sz="0" w:space="0" w:color="auto"/>
                <w:bottom w:val="none" w:sz="0" w:space="0" w:color="auto"/>
                <w:right w:val="none" w:sz="0" w:space="0" w:color="auto"/>
              </w:divBdr>
              <w:divsChild>
                <w:div w:id="1660428733">
                  <w:marLeft w:val="0"/>
                  <w:marRight w:val="0"/>
                  <w:marTop w:val="0"/>
                  <w:marBottom w:val="0"/>
                  <w:divBdr>
                    <w:top w:val="none" w:sz="0" w:space="0" w:color="auto"/>
                    <w:left w:val="none" w:sz="0" w:space="0" w:color="auto"/>
                    <w:bottom w:val="none" w:sz="0" w:space="0" w:color="auto"/>
                    <w:right w:val="none" w:sz="0" w:space="0" w:color="auto"/>
                  </w:divBdr>
                  <w:divsChild>
                    <w:div w:id="1826239067">
                      <w:marLeft w:val="0"/>
                      <w:marRight w:val="0"/>
                      <w:marTop w:val="225"/>
                      <w:marBottom w:val="0"/>
                      <w:divBdr>
                        <w:top w:val="none" w:sz="0" w:space="0" w:color="auto"/>
                        <w:left w:val="none" w:sz="0" w:space="0" w:color="auto"/>
                        <w:bottom w:val="none" w:sz="0" w:space="0" w:color="auto"/>
                        <w:right w:val="none" w:sz="0" w:space="0" w:color="auto"/>
                      </w:divBdr>
                      <w:divsChild>
                        <w:div w:id="1450662718">
                          <w:marLeft w:val="0"/>
                          <w:marRight w:val="0"/>
                          <w:marTop w:val="0"/>
                          <w:marBottom w:val="0"/>
                          <w:divBdr>
                            <w:top w:val="none" w:sz="0" w:space="0" w:color="auto"/>
                            <w:left w:val="none" w:sz="0" w:space="0" w:color="auto"/>
                            <w:bottom w:val="none" w:sz="0" w:space="0" w:color="auto"/>
                            <w:right w:val="none" w:sz="0" w:space="0" w:color="auto"/>
                          </w:divBdr>
                          <w:divsChild>
                            <w:div w:id="297610462">
                              <w:marLeft w:val="0"/>
                              <w:marRight w:val="0"/>
                              <w:marTop w:val="0"/>
                              <w:marBottom w:val="0"/>
                              <w:divBdr>
                                <w:top w:val="none" w:sz="0" w:space="0" w:color="auto"/>
                                <w:left w:val="none" w:sz="0" w:space="0" w:color="auto"/>
                                <w:bottom w:val="none" w:sz="0" w:space="0" w:color="auto"/>
                                <w:right w:val="none" w:sz="0" w:space="0" w:color="auto"/>
                              </w:divBdr>
                              <w:divsChild>
                                <w:div w:id="1210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280163">
      <w:bodyDiv w:val="1"/>
      <w:marLeft w:val="0"/>
      <w:marRight w:val="0"/>
      <w:marTop w:val="0"/>
      <w:marBottom w:val="0"/>
      <w:divBdr>
        <w:top w:val="none" w:sz="0" w:space="0" w:color="auto"/>
        <w:left w:val="none" w:sz="0" w:space="0" w:color="auto"/>
        <w:bottom w:val="none" w:sz="0" w:space="0" w:color="auto"/>
        <w:right w:val="none" w:sz="0" w:space="0" w:color="auto"/>
      </w:divBdr>
    </w:div>
    <w:div w:id="1690448367">
      <w:bodyDiv w:val="1"/>
      <w:marLeft w:val="0"/>
      <w:marRight w:val="0"/>
      <w:marTop w:val="0"/>
      <w:marBottom w:val="0"/>
      <w:divBdr>
        <w:top w:val="none" w:sz="0" w:space="0" w:color="auto"/>
        <w:left w:val="none" w:sz="0" w:space="0" w:color="auto"/>
        <w:bottom w:val="none" w:sz="0" w:space="0" w:color="auto"/>
        <w:right w:val="none" w:sz="0" w:space="0" w:color="auto"/>
      </w:divBdr>
    </w:div>
    <w:div w:id="1705204613">
      <w:bodyDiv w:val="1"/>
      <w:marLeft w:val="0"/>
      <w:marRight w:val="0"/>
      <w:marTop w:val="0"/>
      <w:marBottom w:val="0"/>
      <w:divBdr>
        <w:top w:val="none" w:sz="0" w:space="0" w:color="auto"/>
        <w:left w:val="none" w:sz="0" w:space="0" w:color="auto"/>
        <w:bottom w:val="none" w:sz="0" w:space="0" w:color="auto"/>
        <w:right w:val="none" w:sz="0" w:space="0" w:color="auto"/>
      </w:divBdr>
      <w:divsChild>
        <w:div w:id="1854831180">
          <w:marLeft w:val="0"/>
          <w:marRight w:val="0"/>
          <w:marTop w:val="0"/>
          <w:marBottom w:val="0"/>
          <w:divBdr>
            <w:top w:val="none" w:sz="0" w:space="0" w:color="auto"/>
            <w:left w:val="none" w:sz="0" w:space="0" w:color="auto"/>
            <w:bottom w:val="none" w:sz="0" w:space="0" w:color="auto"/>
            <w:right w:val="none" w:sz="0" w:space="0" w:color="auto"/>
          </w:divBdr>
          <w:divsChild>
            <w:div w:id="1811557202">
              <w:marLeft w:val="0"/>
              <w:marRight w:val="0"/>
              <w:marTop w:val="100"/>
              <w:marBottom w:val="100"/>
              <w:divBdr>
                <w:top w:val="none" w:sz="0" w:space="0" w:color="auto"/>
                <w:left w:val="none" w:sz="0" w:space="0" w:color="auto"/>
                <w:bottom w:val="none" w:sz="0" w:space="0" w:color="auto"/>
                <w:right w:val="none" w:sz="0" w:space="0" w:color="auto"/>
              </w:divBdr>
              <w:divsChild>
                <w:div w:id="249123305">
                  <w:marLeft w:val="0"/>
                  <w:marRight w:val="0"/>
                  <w:marTop w:val="0"/>
                  <w:marBottom w:val="0"/>
                  <w:divBdr>
                    <w:top w:val="none" w:sz="0" w:space="0" w:color="auto"/>
                    <w:left w:val="none" w:sz="0" w:space="0" w:color="auto"/>
                    <w:bottom w:val="none" w:sz="0" w:space="0" w:color="auto"/>
                    <w:right w:val="none" w:sz="0" w:space="0" w:color="auto"/>
                  </w:divBdr>
                  <w:divsChild>
                    <w:div w:id="1005791685">
                      <w:marLeft w:val="0"/>
                      <w:marRight w:val="0"/>
                      <w:marTop w:val="225"/>
                      <w:marBottom w:val="0"/>
                      <w:divBdr>
                        <w:top w:val="none" w:sz="0" w:space="0" w:color="auto"/>
                        <w:left w:val="none" w:sz="0" w:space="0" w:color="auto"/>
                        <w:bottom w:val="none" w:sz="0" w:space="0" w:color="auto"/>
                        <w:right w:val="none" w:sz="0" w:space="0" w:color="auto"/>
                      </w:divBdr>
                      <w:divsChild>
                        <w:div w:id="1928343877">
                          <w:marLeft w:val="0"/>
                          <w:marRight w:val="0"/>
                          <w:marTop w:val="0"/>
                          <w:marBottom w:val="0"/>
                          <w:divBdr>
                            <w:top w:val="none" w:sz="0" w:space="0" w:color="auto"/>
                            <w:left w:val="none" w:sz="0" w:space="0" w:color="auto"/>
                            <w:bottom w:val="none" w:sz="0" w:space="0" w:color="auto"/>
                            <w:right w:val="none" w:sz="0" w:space="0" w:color="auto"/>
                          </w:divBdr>
                          <w:divsChild>
                            <w:div w:id="123542202">
                              <w:marLeft w:val="0"/>
                              <w:marRight w:val="0"/>
                              <w:marTop w:val="0"/>
                              <w:marBottom w:val="0"/>
                              <w:divBdr>
                                <w:top w:val="none" w:sz="0" w:space="0" w:color="auto"/>
                                <w:left w:val="none" w:sz="0" w:space="0" w:color="auto"/>
                                <w:bottom w:val="none" w:sz="0" w:space="0" w:color="auto"/>
                                <w:right w:val="none" w:sz="0" w:space="0" w:color="auto"/>
                              </w:divBdr>
                              <w:divsChild>
                                <w:div w:id="1558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635440">
      <w:bodyDiv w:val="1"/>
      <w:marLeft w:val="0"/>
      <w:marRight w:val="0"/>
      <w:marTop w:val="0"/>
      <w:marBottom w:val="0"/>
      <w:divBdr>
        <w:top w:val="none" w:sz="0" w:space="0" w:color="auto"/>
        <w:left w:val="none" w:sz="0" w:space="0" w:color="auto"/>
        <w:bottom w:val="none" w:sz="0" w:space="0" w:color="auto"/>
        <w:right w:val="none" w:sz="0" w:space="0" w:color="auto"/>
      </w:divBdr>
    </w:div>
    <w:div w:id="1746755287">
      <w:bodyDiv w:val="1"/>
      <w:marLeft w:val="0"/>
      <w:marRight w:val="0"/>
      <w:marTop w:val="0"/>
      <w:marBottom w:val="0"/>
      <w:divBdr>
        <w:top w:val="none" w:sz="0" w:space="0" w:color="auto"/>
        <w:left w:val="none" w:sz="0" w:space="0" w:color="auto"/>
        <w:bottom w:val="none" w:sz="0" w:space="0" w:color="auto"/>
        <w:right w:val="none" w:sz="0" w:space="0" w:color="auto"/>
      </w:divBdr>
    </w:div>
    <w:div w:id="1761369619">
      <w:bodyDiv w:val="1"/>
      <w:marLeft w:val="0"/>
      <w:marRight w:val="0"/>
      <w:marTop w:val="0"/>
      <w:marBottom w:val="0"/>
      <w:divBdr>
        <w:top w:val="none" w:sz="0" w:space="0" w:color="auto"/>
        <w:left w:val="none" w:sz="0" w:space="0" w:color="auto"/>
        <w:bottom w:val="none" w:sz="0" w:space="0" w:color="auto"/>
        <w:right w:val="none" w:sz="0" w:space="0" w:color="auto"/>
      </w:divBdr>
    </w:div>
    <w:div w:id="1790781927">
      <w:bodyDiv w:val="1"/>
      <w:marLeft w:val="0"/>
      <w:marRight w:val="0"/>
      <w:marTop w:val="0"/>
      <w:marBottom w:val="0"/>
      <w:divBdr>
        <w:top w:val="none" w:sz="0" w:space="0" w:color="auto"/>
        <w:left w:val="none" w:sz="0" w:space="0" w:color="auto"/>
        <w:bottom w:val="none" w:sz="0" w:space="0" w:color="auto"/>
        <w:right w:val="none" w:sz="0" w:space="0" w:color="auto"/>
      </w:divBdr>
    </w:div>
    <w:div w:id="1843660388">
      <w:bodyDiv w:val="1"/>
      <w:marLeft w:val="0"/>
      <w:marRight w:val="0"/>
      <w:marTop w:val="0"/>
      <w:marBottom w:val="0"/>
      <w:divBdr>
        <w:top w:val="none" w:sz="0" w:space="0" w:color="auto"/>
        <w:left w:val="none" w:sz="0" w:space="0" w:color="auto"/>
        <w:bottom w:val="none" w:sz="0" w:space="0" w:color="auto"/>
        <w:right w:val="none" w:sz="0" w:space="0" w:color="auto"/>
      </w:divBdr>
    </w:div>
    <w:div w:id="1851872592">
      <w:bodyDiv w:val="1"/>
      <w:marLeft w:val="0"/>
      <w:marRight w:val="0"/>
      <w:marTop w:val="0"/>
      <w:marBottom w:val="0"/>
      <w:divBdr>
        <w:top w:val="none" w:sz="0" w:space="0" w:color="auto"/>
        <w:left w:val="none" w:sz="0" w:space="0" w:color="auto"/>
        <w:bottom w:val="none" w:sz="0" w:space="0" w:color="auto"/>
        <w:right w:val="none" w:sz="0" w:space="0" w:color="auto"/>
      </w:divBdr>
    </w:div>
    <w:div w:id="1862890868">
      <w:bodyDiv w:val="1"/>
      <w:marLeft w:val="0"/>
      <w:marRight w:val="0"/>
      <w:marTop w:val="0"/>
      <w:marBottom w:val="0"/>
      <w:divBdr>
        <w:top w:val="none" w:sz="0" w:space="0" w:color="auto"/>
        <w:left w:val="none" w:sz="0" w:space="0" w:color="auto"/>
        <w:bottom w:val="none" w:sz="0" w:space="0" w:color="auto"/>
        <w:right w:val="none" w:sz="0" w:space="0" w:color="auto"/>
      </w:divBdr>
      <w:divsChild>
        <w:div w:id="235556505">
          <w:marLeft w:val="0"/>
          <w:marRight w:val="0"/>
          <w:marTop w:val="150"/>
          <w:marBottom w:val="0"/>
          <w:divBdr>
            <w:top w:val="none" w:sz="0" w:space="0" w:color="auto"/>
            <w:left w:val="none" w:sz="0" w:space="0" w:color="auto"/>
            <w:bottom w:val="none" w:sz="0" w:space="0" w:color="auto"/>
            <w:right w:val="none" w:sz="0" w:space="0" w:color="auto"/>
          </w:divBdr>
          <w:divsChild>
            <w:div w:id="1662736514">
              <w:marLeft w:val="0"/>
              <w:marRight w:val="0"/>
              <w:marTop w:val="0"/>
              <w:marBottom w:val="0"/>
              <w:divBdr>
                <w:top w:val="single" w:sz="6" w:space="0" w:color="CADAE7"/>
                <w:left w:val="single" w:sz="6" w:space="0" w:color="CADAE7"/>
                <w:bottom w:val="single" w:sz="6" w:space="0" w:color="CADAE7"/>
                <w:right w:val="single" w:sz="6" w:space="0" w:color="CADAE7"/>
              </w:divBdr>
              <w:divsChild>
                <w:div w:id="7197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5719">
      <w:bodyDiv w:val="1"/>
      <w:marLeft w:val="0"/>
      <w:marRight w:val="0"/>
      <w:marTop w:val="0"/>
      <w:marBottom w:val="0"/>
      <w:divBdr>
        <w:top w:val="none" w:sz="0" w:space="0" w:color="auto"/>
        <w:left w:val="none" w:sz="0" w:space="0" w:color="auto"/>
        <w:bottom w:val="none" w:sz="0" w:space="0" w:color="auto"/>
        <w:right w:val="none" w:sz="0" w:space="0" w:color="auto"/>
      </w:divBdr>
    </w:div>
    <w:div w:id="1869485856">
      <w:bodyDiv w:val="1"/>
      <w:marLeft w:val="0"/>
      <w:marRight w:val="0"/>
      <w:marTop w:val="0"/>
      <w:marBottom w:val="0"/>
      <w:divBdr>
        <w:top w:val="none" w:sz="0" w:space="0" w:color="auto"/>
        <w:left w:val="none" w:sz="0" w:space="0" w:color="auto"/>
        <w:bottom w:val="none" w:sz="0" w:space="0" w:color="auto"/>
        <w:right w:val="none" w:sz="0" w:space="0" w:color="auto"/>
      </w:divBdr>
    </w:div>
    <w:div w:id="1872567608">
      <w:bodyDiv w:val="1"/>
      <w:marLeft w:val="0"/>
      <w:marRight w:val="0"/>
      <w:marTop w:val="0"/>
      <w:marBottom w:val="0"/>
      <w:divBdr>
        <w:top w:val="none" w:sz="0" w:space="0" w:color="auto"/>
        <w:left w:val="none" w:sz="0" w:space="0" w:color="auto"/>
        <w:bottom w:val="none" w:sz="0" w:space="0" w:color="auto"/>
        <w:right w:val="none" w:sz="0" w:space="0" w:color="auto"/>
      </w:divBdr>
    </w:div>
    <w:div w:id="1911766114">
      <w:bodyDiv w:val="1"/>
      <w:marLeft w:val="0"/>
      <w:marRight w:val="0"/>
      <w:marTop w:val="0"/>
      <w:marBottom w:val="0"/>
      <w:divBdr>
        <w:top w:val="none" w:sz="0" w:space="0" w:color="auto"/>
        <w:left w:val="none" w:sz="0" w:space="0" w:color="auto"/>
        <w:bottom w:val="none" w:sz="0" w:space="0" w:color="auto"/>
        <w:right w:val="none" w:sz="0" w:space="0" w:color="auto"/>
      </w:divBdr>
    </w:div>
    <w:div w:id="1919440688">
      <w:bodyDiv w:val="1"/>
      <w:marLeft w:val="0"/>
      <w:marRight w:val="0"/>
      <w:marTop w:val="0"/>
      <w:marBottom w:val="0"/>
      <w:divBdr>
        <w:top w:val="none" w:sz="0" w:space="0" w:color="auto"/>
        <w:left w:val="none" w:sz="0" w:space="0" w:color="auto"/>
        <w:bottom w:val="none" w:sz="0" w:space="0" w:color="auto"/>
        <w:right w:val="none" w:sz="0" w:space="0" w:color="auto"/>
      </w:divBdr>
    </w:div>
    <w:div w:id="1919705558">
      <w:bodyDiv w:val="1"/>
      <w:marLeft w:val="0"/>
      <w:marRight w:val="0"/>
      <w:marTop w:val="0"/>
      <w:marBottom w:val="0"/>
      <w:divBdr>
        <w:top w:val="none" w:sz="0" w:space="0" w:color="auto"/>
        <w:left w:val="none" w:sz="0" w:space="0" w:color="auto"/>
        <w:bottom w:val="none" w:sz="0" w:space="0" w:color="auto"/>
        <w:right w:val="none" w:sz="0" w:space="0" w:color="auto"/>
      </w:divBdr>
    </w:div>
    <w:div w:id="1920669307">
      <w:bodyDiv w:val="1"/>
      <w:marLeft w:val="0"/>
      <w:marRight w:val="0"/>
      <w:marTop w:val="0"/>
      <w:marBottom w:val="0"/>
      <w:divBdr>
        <w:top w:val="none" w:sz="0" w:space="0" w:color="auto"/>
        <w:left w:val="none" w:sz="0" w:space="0" w:color="auto"/>
        <w:bottom w:val="none" w:sz="0" w:space="0" w:color="auto"/>
        <w:right w:val="none" w:sz="0" w:space="0" w:color="auto"/>
      </w:divBdr>
    </w:div>
    <w:div w:id="1950890522">
      <w:bodyDiv w:val="1"/>
      <w:marLeft w:val="0"/>
      <w:marRight w:val="0"/>
      <w:marTop w:val="0"/>
      <w:marBottom w:val="0"/>
      <w:divBdr>
        <w:top w:val="none" w:sz="0" w:space="0" w:color="auto"/>
        <w:left w:val="none" w:sz="0" w:space="0" w:color="auto"/>
        <w:bottom w:val="none" w:sz="0" w:space="0" w:color="auto"/>
        <w:right w:val="none" w:sz="0" w:space="0" w:color="auto"/>
      </w:divBdr>
    </w:div>
    <w:div w:id="1992371157">
      <w:bodyDiv w:val="1"/>
      <w:marLeft w:val="0"/>
      <w:marRight w:val="0"/>
      <w:marTop w:val="0"/>
      <w:marBottom w:val="0"/>
      <w:divBdr>
        <w:top w:val="none" w:sz="0" w:space="0" w:color="auto"/>
        <w:left w:val="none" w:sz="0" w:space="0" w:color="auto"/>
        <w:bottom w:val="none" w:sz="0" w:space="0" w:color="auto"/>
        <w:right w:val="none" w:sz="0" w:space="0" w:color="auto"/>
      </w:divBdr>
    </w:div>
    <w:div w:id="2045255044">
      <w:bodyDiv w:val="1"/>
      <w:marLeft w:val="0"/>
      <w:marRight w:val="0"/>
      <w:marTop w:val="0"/>
      <w:marBottom w:val="0"/>
      <w:divBdr>
        <w:top w:val="none" w:sz="0" w:space="0" w:color="auto"/>
        <w:left w:val="none" w:sz="0" w:space="0" w:color="auto"/>
        <w:bottom w:val="none" w:sz="0" w:space="0" w:color="auto"/>
        <w:right w:val="none" w:sz="0" w:space="0" w:color="auto"/>
      </w:divBdr>
    </w:div>
    <w:div w:id="2069649795">
      <w:bodyDiv w:val="1"/>
      <w:marLeft w:val="0"/>
      <w:marRight w:val="0"/>
      <w:marTop w:val="0"/>
      <w:marBottom w:val="0"/>
      <w:divBdr>
        <w:top w:val="none" w:sz="0" w:space="0" w:color="auto"/>
        <w:left w:val="none" w:sz="0" w:space="0" w:color="auto"/>
        <w:bottom w:val="none" w:sz="0" w:space="0" w:color="auto"/>
        <w:right w:val="none" w:sz="0" w:space="0" w:color="auto"/>
      </w:divBdr>
    </w:div>
    <w:div w:id="2108386920">
      <w:bodyDiv w:val="1"/>
      <w:marLeft w:val="0"/>
      <w:marRight w:val="0"/>
      <w:marTop w:val="0"/>
      <w:marBottom w:val="0"/>
      <w:divBdr>
        <w:top w:val="none" w:sz="0" w:space="0" w:color="auto"/>
        <w:left w:val="none" w:sz="0" w:space="0" w:color="auto"/>
        <w:bottom w:val="none" w:sz="0" w:space="0" w:color="auto"/>
        <w:right w:val="none" w:sz="0" w:space="0" w:color="auto"/>
      </w:divBdr>
    </w:div>
    <w:div w:id="2117629477">
      <w:bodyDiv w:val="1"/>
      <w:marLeft w:val="0"/>
      <w:marRight w:val="0"/>
      <w:marTop w:val="0"/>
      <w:marBottom w:val="0"/>
      <w:divBdr>
        <w:top w:val="none" w:sz="0" w:space="0" w:color="auto"/>
        <w:left w:val="none" w:sz="0" w:space="0" w:color="auto"/>
        <w:bottom w:val="none" w:sz="0" w:space="0" w:color="auto"/>
        <w:right w:val="none" w:sz="0" w:space="0" w:color="auto"/>
      </w:divBdr>
    </w:div>
    <w:div w:id="2135516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puniversities.com/university-rankings/world-university-rankings/20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21C296-20DF-47E3-98AB-8604D21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8</Pages>
  <Words>1666</Words>
  <Characters>9502</Characters>
  <Application>Microsoft Office Word</Application>
  <DocSecurity>0</DocSecurity>
  <Lines>79</Lines>
  <Paragraphs>22</Paragraphs>
  <ScaleCrop>false</ScaleCrop>
  <Company>微软中国</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发展规划处高教研究室</dc:creator>
  <cp:lastModifiedBy>发展规划处高教研究室</cp:lastModifiedBy>
  <cp:revision>32</cp:revision>
  <cp:lastPrinted>2018-07-04T01:06:00Z</cp:lastPrinted>
  <dcterms:created xsi:type="dcterms:W3CDTF">2018-04-04T08:06:00Z</dcterms:created>
  <dcterms:modified xsi:type="dcterms:W3CDTF">2018-07-04T06:28:00Z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