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Layout w:type="fixed"/>
        <w:tblCellMar>
          <w:left w:w="0" w:type="dxa"/>
          <w:right w:w="0" w:type="dxa"/>
        </w:tblCellMar>
        <w:tblLook w:val="04A0" w:firstRow="1" w:lastRow="0" w:firstColumn="1" w:lastColumn="0" w:noHBand="0" w:noVBand="1"/>
      </w:tblPr>
      <w:tblGrid>
        <w:gridCol w:w="8844"/>
      </w:tblGrid>
      <w:tr w:rsidR="00890DF6">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890DF6" w:rsidRDefault="00AF5955" w:rsidP="008C5A90">
            <w:pPr>
              <w:spacing w:beforeLines="50" w:before="120" w:afterLines="0"/>
              <w:jc w:val="center"/>
              <w:rPr>
                <w:rFonts w:ascii="方正粗宋简体" w:eastAsia="方正粗宋简体"/>
                <w:spacing w:val="100"/>
                <w:w w:val="75"/>
                <w:sz w:val="72"/>
                <w:szCs w:val="72"/>
              </w:rPr>
            </w:pPr>
            <w:r>
              <w:rPr>
                <w:rFonts w:ascii="方正粗宋简体" w:eastAsia="方正粗宋简体" w:hint="eastAsia"/>
                <w:color w:val="FFFFFF"/>
                <w:spacing w:val="100"/>
                <w:w w:val="75"/>
                <w:sz w:val="72"/>
                <w:szCs w:val="72"/>
              </w:rPr>
              <w:t>高 教 动 态</w:t>
            </w:r>
          </w:p>
        </w:tc>
      </w:tr>
    </w:tbl>
    <w:p w:rsidR="00890DF6" w:rsidRPr="007947F1" w:rsidRDefault="00AF5955" w:rsidP="008C5A90">
      <w:pPr>
        <w:spacing w:beforeLines="50" w:before="120" w:afterLines="0" w:line="360" w:lineRule="auto"/>
        <w:jc w:val="center"/>
        <w:rPr>
          <w:rFonts w:ascii="Times New Roman" w:eastAsiaTheme="minorEastAsia" w:hAnsi="Times New Roman" w:cs="Times New Roman"/>
          <w:sz w:val="24"/>
        </w:rPr>
      </w:pPr>
      <w:r w:rsidRPr="007947F1">
        <w:rPr>
          <w:rFonts w:ascii="Times New Roman" w:eastAsiaTheme="minorEastAsia" w:hAnsi="Times New Roman" w:cs="Times New Roman"/>
          <w:sz w:val="24"/>
        </w:rPr>
        <w:t>2018</w:t>
      </w:r>
      <w:r w:rsidRPr="007947F1">
        <w:rPr>
          <w:rFonts w:ascii="Times New Roman" w:eastAsiaTheme="minorEastAsia" w:hAnsi="Times New Roman" w:cs="Times New Roman"/>
          <w:sz w:val="24"/>
        </w:rPr>
        <w:t>年第</w:t>
      </w:r>
      <w:r w:rsidR="00295803" w:rsidRPr="007947F1">
        <w:rPr>
          <w:rFonts w:ascii="Times New Roman" w:eastAsiaTheme="minorEastAsia" w:hAnsi="Times New Roman" w:cs="Times New Roman"/>
          <w:sz w:val="24"/>
        </w:rPr>
        <w:t>7</w:t>
      </w:r>
      <w:r w:rsidRPr="007947F1">
        <w:rPr>
          <w:rFonts w:ascii="Times New Roman" w:eastAsiaTheme="minorEastAsia" w:hAnsi="Times New Roman" w:cs="Times New Roman"/>
          <w:sz w:val="24"/>
        </w:rPr>
        <w:t>期（总第</w:t>
      </w:r>
      <w:r w:rsidRPr="007947F1">
        <w:rPr>
          <w:rFonts w:ascii="Times New Roman" w:eastAsiaTheme="minorEastAsia" w:hAnsi="Times New Roman" w:cs="Times New Roman"/>
          <w:sz w:val="24"/>
        </w:rPr>
        <w:t>1</w:t>
      </w:r>
      <w:r w:rsidR="00021C95" w:rsidRPr="007947F1">
        <w:rPr>
          <w:rFonts w:ascii="Times New Roman" w:eastAsiaTheme="minorEastAsia" w:hAnsi="Times New Roman" w:cs="Times New Roman"/>
          <w:sz w:val="24"/>
        </w:rPr>
        <w:t>4</w:t>
      </w:r>
      <w:r w:rsidR="00295803" w:rsidRPr="007947F1">
        <w:rPr>
          <w:rFonts w:ascii="Times New Roman" w:eastAsiaTheme="minorEastAsia" w:hAnsi="Times New Roman" w:cs="Times New Roman"/>
          <w:sz w:val="24"/>
        </w:rPr>
        <w:t>1</w:t>
      </w:r>
      <w:r w:rsidRPr="007947F1">
        <w:rPr>
          <w:rFonts w:ascii="Times New Roman" w:eastAsiaTheme="minorEastAsia" w:hAnsi="Times New Roman" w:cs="Times New Roman"/>
          <w:sz w:val="24"/>
        </w:rPr>
        <w:t>期）</w:t>
      </w:r>
    </w:p>
    <w:p w:rsidR="00890DF6" w:rsidRDefault="008C5A90" w:rsidP="008C5A90">
      <w:pPr>
        <w:spacing w:beforeLines="50" w:before="120" w:afterLines="0"/>
        <w:ind w:right="440" w:firstLineChars="100" w:firstLine="220"/>
        <w:rPr>
          <w:rFonts w:asciiTheme="minorEastAsia" w:eastAsiaTheme="minorEastAsia" w:hAnsiTheme="minorEastAsia"/>
          <w:sz w:val="24"/>
        </w:rPr>
      </w:pPr>
      <w:r>
        <w:rPr>
          <w:rFonts w:ascii="Times New Roman" w:eastAsiaTheme="minorEastAsia" w:hAnsi="Times New Roman" w:cs="Times New Roman"/>
          <w:noProof/>
        </w:rPr>
        <mc:AlternateContent>
          <mc:Choice Requires="wps">
            <w:drawing>
              <wp:anchor distT="4294967295" distB="4294967295" distL="114300" distR="114300" simplePos="0" relativeHeight="251660288" behindDoc="0" locked="0" layoutInCell="1" allowOverlap="1">
                <wp:simplePos x="0" y="0"/>
                <wp:positionH relativeFrom="margin">
                  <wp:posOffset>61595</wp:posOffset>
                </wp:positionH>
                <wp:positionV relativeFrom="paragraph">
                  <wp:posOffset>300354</wp:posOffset>
                </wp:positionV>
                <wp:extent cx="5657850" cy="0"/>
                <wp:effectExtent l="0" t="19050" r="0" b="19050"/>
                <wp:wrapNone/>
                <wp:docPr id="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3810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85pt,23.65pt" to="450.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" strokecolor="red" strokeweight="3pt">
                <w10:wrap anchorx="margin"/>
              </v:line>
            </w:pict>
          </mc:Fallback>
        </mc:AlternateContent>
      </w:r>
      <w:r w:rsidR="00AF5955">
        <w:rPr>
          <w:rFonts w:ascii="Times New Roman" w:eastAsiaTheme="minorEastAsia" w:hAnsi="Times New Roman" w:cs="Times New Roman"/>
          <w:sz w:val="24"/>
        </w:rPr>
        <w:t>武汉轻工大学发展规划处</w:t>
      </w:r>
      <w:r w:rsidR="00AF5955">
        <w:rPr>
          <w:rFonts w:ascii="Times New Roman" w:eastAsiaTheme="minorEastAsia" w:hAnsi="Times New Roman" w:cs="Times New Roman"/>
          <w:sz w:val="24"/>
        </w:rPr>
        <w:t xml:space="preserve"> </w:t>
      </w:r>
      <w:r w:rsidR="00AF5955">
        <w:rPr>
          <w:rFonts w:ascii="Times New Roman" w:eastAsiaTheme="minorEastAsia" w:hAnsi="Times New Roman" w:cs="Times New Roman" w:hint="eastAsia"/>
          <w:sz w:val="24"/>
        </w:rPr>
        <w:t xml:space="preserve">     </w:t>
      </w:r>
      <w:r w:rsidR="00295803">
        <w:rPr>
          <w:rFonts w:ascii="Times New Roman" w:eastAsiaTheme="minorEastAsia" w:hAnsi="Times New Roman" w:cs="Times New Roman" w:hint="eastAsia"/>
          <w:sz w:val="24"/>
        </w:rPr>
        <w:t xml:space="preserve">                               </w:t>
      </w:r>
      <w:r w:rsidR="00AF5955">
        <w:rPr>
          <w:rFonts w:ascii="Times New Roman" w:eastAsiaTheme="minorEastAsia" w:hAnsi="Times New Roman" w:cs="Times New Roman"/>
          <w:sz w:val="24"/>
        </w:rPr>
        <w:t>201</w:t>
      </w:r>
      <w:r w:rsidR="00AF5955">
        <w:rPr>
          <w:rFonts w:ascii="Times New Roman" w:eastAsiaTheme="minorEastAsia" w:hAnsi="Times New Roman" w:cs="Times New Roman" w:hint="eastAsia"/>
          <w:sz w:val="24"/>
        </w:rPr>
        <w:t>8</w:t>
      </w:r>
      <w:r w:rsidR="00AF5955">
        <w:rPr>
          <w:rFonts w:ascii="Times New Roman" w:eastAsiaTheme="minorEastAsia" w:hAnsi="Times New Roman" w:cs="Times New Roman"/>
          <w:sz w:val="24"/>
        </w:rPr>
        <w:t>年</w:t>
      </w:r>
      <w:r w:rsidR="00295803">
        <w:rPr>
          <w:rFonts w:ascii="Times New Roman" w:eastAsiaTheme="minorEastAsia" w:hAnsi="Times New Roman" w:cs="Times New Roman" w:hint="eastAsia"/>
          <w:sz w:val="24"/>
        </w:rPr>
        <w:t>10</w:t>
      </w:r>
      <w:r w:rsidR="00AF5955">
        <w:rPr>
          <w:rFonts w:ascii="Times New Roman" w:eastAsiaTheme="minorEastAsia" w:hAnsi="Times New Roman" w:cs="Times New Roman"/>
          <w:sz w:val="24"/>
        </w:rPr>
        <w:t>月</w:t>
      </w:r>
    </w:p>
    <w:p w:rsidR="00890DF6" w:rsidRDefault="00890DF6" w:rsidP="008C5A90">
      <w:pPr>
        <w:spacing w:beforeLines="50" w:before="120" w:afterLines="0"/>
        <w:jc w:val="center"/>
        <w:rPr>
          <w:rFonts w:ascii="黑体" w:eastAsia="黑体" w:hAnsi="黑体"/>
          <w:sz w:val="28"/>
          <w:szCs w:val="28"/>
        </w:rPr>
      </w:pPr>
    </w:p>
    <w:p w:rsidR="00890DF6" w:rsidRDefault="00AF5955" w:rsidP="008C5A90">
      <w:pPr>
        <w:spacing w:beforeLines="50" w:before="120" w:afterLines="0"/>
        <w:jc w:val="center"/>
        <w:rPr>
          <w:rFonts w:ascii="黑体" w:eastAsia="黑体" w:hAnsi="黑体"/>
          <w:sz w:val="28"/>
          <w:szCs w:val="28"/>
        </w:rPr>
      </w:pPr>
      <w:r>
        <w:rPr>
          <w:rFonts w:ascii="黑体" w:eastAsia="黑体" w:hAnsi="黑体" w:hint="eastAsia"/>
          <w:sz w:val="28"/>
          <w:szCs w:val="28"/>
        </w:rPr>
        <w:t>【高教要闻】</w:t>
      </w:r>
    </w:p>
    <w:p w:rsidR="00563159" w:rsidRDefault="003D13B2" w:rsidP="008C5A90">
      <w:pPr>
        <w:spacing w:beforeLines="50" w:before="120" w:afterLines="0" w:line="324" w:lineRule="auto"/>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CB60D2" w:rsidRPr="00CB60D2">
        <w:rPr>
          <w:rFonts w:asciiTheme="minorEastAsia" w:eastAsiaTheme="minorEastAsia" w:hAnsiTheme="minorEastAsia" w:hint="eastAsia"/>
          <w:b/>
          <w:bCs/>
          <w:sz w:val="24"/>
          <w:szCs w:val="24"/>
        </w:rPr>
        <w:t>教育部印发“新时代高教40条”</w:t>
      </w:r>
      <w:r w:rsidR="00977A7D" w:rsidRPr="002D4082">
        <w:rPr>
          <w:rFonts w:asciiTheme="minorEastAsia" w:eastAsiaTheme="minorEastAsia" w:hAnsiTheme="minorEastAsia" w:cs="Times New Roman" w:hint="eastAsia"/>
          <w:sz w:val="21"/>
          <w:szCs w:val="21"/>
        </w:rPr>
        <w:t xml:space="preserve"> </w:t>
      </w:r>
      <w:r w:rsidR="002D4082" w:rsidRPr="002D4082">
        <w:rPr>
          <w:rFonts w:asciiTheme="minorEastAsia" w:eastAsiaTheme="minorEastAsia" w:hAnsiTheme="minorEastAsia" w:cs="Times New Roman" w:hint="eastAsia"/>
          <w:sz w:val="21"/>
          <w:szCs w:val="21"/>
        </w:rPr>
        <w:t>教育部日前印发《关于加快建设高水平本科教育 全面提高人才培养能力的意见》（以下简称“新时代高教</w:t>
      </w:r>
      <w:r w:rsidR="002D4082" w:rsidRPr="008C5A90">
        <w:rPr>
          <w:rFonts w:ascii="Times New Roman" w:eastAsiaTheme="minorEastAsia" w:hAnsi="Times New Roman" w:cs="Times New Roman"/>
          <w:sz w:val="21"/>
          <w:szCs w:val="21"/>
        </w:rPr>
        <w:t>40</w:t>
      </w:r>
      <w:r w:rsidR="002D4082" w:rsidRPr="002D4082">
        <w:rPr>
          <w:rFonts w:asciiTheme="minorEastAsia" w:eastAsiaTheme="minorEastAsia" w:hAnsiTheme="minorEastAsia" w:cs="Times New Roman" w:hint="eastAsia"/>
          <w:sz w:val="21"/>
          <w:szCs w:val="21"/>
        </w:rPr>
        <w:t>条”）等文件，决定实施“六卓越一拔尖”计划</w:t>
      </w:r>
      <w:r w:rsidR="002D4082" w:rsidRPr="007947F1">
        <w:rPr>
          <w:rFonts w:ascii="Times New Roman" w:eastAsiaTheme="minorEastAsia" w:hAnsi="Times New Roman" w:cs="Times New Roman"/>
          <w:sz w:val="21"/>
          <w:szCs w:val="21"/>
        </w:rPr>
        <w:t>2.0</w:t>
      </w:r>
      <w:r w:rsidR="002D4082" w:rsidRPr="002D4082">
        <w:rPr>
          <w:rFonts w:asciiTheme="minorEastAsia" w:eastAsiaTheme="minorEastAsia" w:hAnsiTheme="minorEastAsia" w:cs="Times New Roman" w:hint="eastAsia"/>
          <w:sz w:val="21"/>
          <w:szCs w:val="21"/>
        </w:rPr>
        <w:t>。“新时代高教</w:t>
      </w:r>
      <w:r w:rsidR="002D4082" w:rsidRPr="007947F1">
        <w:rPr>
          <w:rFonts w:ascii="Times New Roman" w:eastAsiaTheme="minorEastAsia" w:hAnsi="Times New Roman" w:cs="Times New Roman"/>
          <w:sz w:val="21"/>
          <w:szCs w:val="21"/>
        </w:rPr>
        <w:t>40</w:t>
      </w:r>
      <w:r w:rsidR="002D4082" w:rsidRPr="002D4082">
        <w:rPr>
          <w:rFonts w:asciiTheme="minorEastAsia" w:eastAsiaTheme="minorEastAsia" w:hAnsiTheme="minorEastAsia" w:cs="Times New Roman" w:hint="eastAsia"/>
          <w:sz w:val="21"/>
          <w:szCs w:val="21"/>
        </w:rPr>
        <w:t>条”指出，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新时代高教</w:t>
      </w:r>
      <w:r w:rsidR="002D4082" w:rsidRPr="007947F1">
        <w:rPr>
          <w:rFonts w:ascii="Times New Roman" w:eastAsiaTheme="minorEastAsia" w:hAnsi="Times New Roman" w:cs="Times New Roman"/>
          <w:sz w:val="21"/>
          <w:szCs w:val="21"/>
        </w:rPr>
        <w:t>40</w:t>
      </w:r>
      <w:r w:rsidR="002D4082" w:rsidRPr="002D4082">
        <w:rPr>
          <w:rFonts w:asciiTheme="minorEastAsia" w:eastAsiaTheme="minorEastAsia" w:hAnsiTheme="minorEastAsia" w:cs="Times New Roman" w:hint="eastAsia"/>
          <w:sz w:val="21"/>
          <w:szCs w:val="21"/>
        </w:rPr>
        <w:t>条”要求，高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新时代高教</w:t>
      </w:r>
      <w:r w:rsidR="002D4082" w:rsidRPr="007947F1">
        <w:rPr>
          <w:rFonts w:ascii="Times New Roman" w:eastAsiaTheme="minorEastAsia" w:hAnsi="Times New Roman" w:cs="Times New Roman"/>
          <w:sz w:val="21"/>
          <w:szCs w:val="21"/>
        </w:rPr>
        <w:t>40</w:t>
      </w:r>
      <w:r w:rsidR="002D4082" w:rsidRPr="002D4082">
        <w:rPr>
          <w:rFonts w:asciiTheme="minorEastAsia" w:eastAsiaTheme="minorEastAsia" w:hAnsiTheme="minorEastAsia" w:cs="Times New Roman" w:hint="eastAsia"/>
          <w:sz w:val="21"/>
          <w:szCs w:val="21"/>
        </w:rPr>
        <w:t>条”提出，经过</w:t>
      </w:r>
      <w:r w:rsidR="002D4082" w:rsidRPr="007947F1">
        <w:rPr>
          <w:rFonts w:ascii="Times New Roman" w:eastAsiaTheme="minorEastAsia" w:hAnsi="Times New Roman" w:cs="Times New Roman"/>
          <w:sz w:val="21"/>
          <w:szCs w:val="21"/>
        </w:rPr>
        <w:t>5</w:t>
      </w:r>
      <w:r w:rsidR="002D4082" w:rsidRPr="002D4082">
        <w:rPr>
          <w:rFonts w:asciiTheme="minorEastAsia" w:eastAsiaTheme="minorEastAsia" w:hAnsiTheme="minorEastAsia" w:cs="Times New Roman" w:hint="eastAsia"/>
          <w:sz w:val="21"/>
          <w:szCs w:val="21"/>
        </w:rPr>
        <w:t>年的努力，“四个回归”全面落实，初步形成高水平的人才培养体系，建成一批立德树人标杆学校，建设一批一流本科专业点，引领带动高校专业建设水平和人才培养能力全面提升，学生学习成效和教师育人能力显著增强；“新时代高教</w:t>
      </w:r>
      <w:r w:rsidR="002D4082" w:rsidRPr="007947F1">
        <w:rPr>
          <w:rFonts w:ascii="Times New Roman" w:eastAsiaTheme="minorEastAsia" w:hAnsi="Times New Roman" w:cs="Times New Roman"/>
          <w:sz w:val="21"/>
          <w:szCs w:val="21"/>
        </w:rPr>
        <w:t>40</w:t>
      </w:r>
      <w:r w:rsidR="002D4082" w:rsidRPr="002D4082">
        <w:rPr>
          <w:rFonts w:asciiTheme="minorEastAsia" w:eastAsiaTheme="minorEastAsia" w:hAnsiTheme="minorEastAsia" w:cs="Times New Roman" w:hint="eastAsia"/>
          <w:sz w:val="21"/>
          <w:szCs w:val="21"/>
        </w:rPr>
        <w:t>条”要求，把思想政治教育贯穿高水平本科教育全过程。同时，为实施好“六卓越一拔尖”</w:t>
      </w:r>
      <w:r w:rsidR="002D4082" w:rsidRPr="007947F1">
        <w:rPr>
          <w:rFonts w:ascii="Times New Roman" w:eastAsiaTheme="minorEastAsia" w:hAnsi="Times New Roman" w:cs="Times New Roman"/>
          <w:sz w:val="21"/>
          <w:szCs w:val="21"/>
        </w:rPr>
        <w:t>计划</w:t>
      </w:r>
      <w:r w:rsidR="002D4082" w:rsidRPr="007947F1">
        <w:rPr>
          <w:rFonts w:ascii="Times New Roman" w:eastAsiaTheme="minorEastAsia" w:hAnsi="Times New Roman" w:cs="Times New Roman"/>
          <w:sz w:val="21"/>
          <w:szCs w:val="21"/>
        </w:rPr>
        <w:t>2.0</w:t>
      </w:r>
      <w:r w:rsidR="002D4082" w:rsidRPr="007947F1">
        <w:rPr>
          <w:rFonts w:ascii="Times New Roman" w:eastAsiaTheme="minorEastAsia" w:hAnsi="Times New Roman" w:cs="Times New Roman"/>
          <w:sz w:val="21"/>
          <w:szCs w:val="21"/>
        </w:rPr>
        <w:t>，教育部与相关部门还印发了《教育部等六部门关于实施基础学科拔尖学生培养计划</w:t>
      </w:r>
      <w:r w:rsidR="002D4082" w:rsidRPr="007947F1">
        <w:rPr>
          <w:rFonts w:ascii="Times New Roman" w:eastAsiaTheme="minorEastAsia" w:hAnsi="Times New Roman" w:cs="Times New Roman"/>
          <w:sz w:val="21"/>
          <w:szCs w:val="21"/>
        </w:rPr>
        <w:t>2.0</w:t>
      </w:r>
      <w:r w:rsidR="002D4082" w:rsidRPr="007947F1">
        <w:rPr>
          <w:rFonts w:ascii="Times New Roman" w:eastAsiaTheme="minorEastAsia" w:hAnsi="Times New Roman" w:cs="Times New Roman"/>
          <w:sz w:val="21"/>
          <w:szCs w:val="21"/>
        </w:rPr>
        <w:t>的意见》《教育部</w:t>
      </w:r>
      <w:r w:rsidR="002D4082" w:rsidRPr="007947F1">
        <w:rPr>
          <w:rFonts w:ascii="Times New Roman" w:eastAsiaTheme="minorEastAsia" w:hAnsi="Times New Roman" w:cs="Times New Roman"/>
          <w:sz w:val="21"/>
          <w:szCs w:val="21"/>
        </w:rPr>
        <w:t xml:space="preserve"> </w:t>
      </w:r>
      <w:r w:rsidR="002D4082" w:rsidRPr="007947F1">
        <w:rPr>
          <w:rFonts w:ascii="Times New Roman" w:eastAsiaTheme="minorEastAsia" w:hAnsi="Times New Roman" w:cs="Times New Roman"/>
          <w:sz w:val="21"/>
          <w:szCs w:val="21"/>
        </w:rPr>
        <w:t>农业农村部</w:t>
      </w:r>
      <w:r w:rsidR="002D4082" w:rsidRPr="007947F1">
        <w:rPr>
          <w:rFonts w:ascii="Times New Roman" w:eastAsiaTheme="minorEastAsia" w:hAnsi="Times New Roman" w:cs="Times New Roman"/>
          <w:sz w:val="21"/>
          <w:szCs w:val="21"/>
        </w:rPr>
        <w:t xml:space="preserve"> </w:t>
      </w:r>
      <w:r w:rsidR="002D4082" w:rsidRPr="007947F1">
        <w:rPr>
          <w:rFonts w:ascii="Times New Roman" w:eastAsiaTheme="minorEastAsia" w:hAnsi="Times New Roman" w:cs="Times New Roman"/>
          <w:sz w:val="21"/>
          <w:szCs w:val="21"/>
        </w:rPr>
        <w:t>国家林业和草原局关于加强农科教结合实施卓越农林人才教育培养计划</w:t>
      </w:r>
      <w:r w:rsidR="002D4082" w:rsidRPr="007947F1">
        <w:rPr>
          <w:rFonts w:ascii="Times New Roman" w:eastAsiaTheme="minorEastAsia" w:hAnsi="Times New Roman" w:cs="Times New Roman"/>
          <w:sz w:val="21"/>
          <w:szCs w:val="21"/>
        </w:rPr>
        <w:t>2.0</w:t>
      </w:r>
      <w:r w:rsidR="002D4082" w:rsidRPr="007947F1">
        <w:rPr>
          <w:rFonts w:ascii="Times New Roman" w:eastAsiaTheme="minorEastAsia" w:hAnsi="Times New Roman" w:cs="Times New Roman"/>
          <w:sz w:val="21"/>
          <w:szCs w:val="21"/>
        </w:rPr>
        <w:t>的意见》等文件，对文、理、工、农、医、教等领域提高人才培养质量做出具体安排，明</w:t>
      </w:r>
      <w:r w:rsidR="002D4082" w:rsidRPr="002D4082">
        <w:rPr>
          <w:rFonts w:asciiTheme="minorEastAsia" w:eastAsiaTheme="minorEastAsia" w:hAnsiTheme="minorEastAsia" w:cs="Times New Roman" w:hint="eastAsia"/>
          <w:sz w:val="21"/>
          <w:szCs w:val="21"/>
        </w:rPr>
        <w:t>确了“六卓越一拔尖”计划</w:t>
      </w:r>
      <w:r w:rsidR="002D4082" w:rsidRPr="007947F1">
        <w:rPr>
          <w:rFonts w:ascii="Times New Roman" w:eastAsiaTheme="minorEastAsia" w:hAnsi="Times New Roman" w:cs="Times New Roman"/>
          <w:sz w:val="21"/>
          <w:szCs w:val="21"/>
        </w:rPr>
        <w:t>2.0</w:t>
      </w:r>
      <w:r w:rsidR="002D4082" w:rsidRPr="002D4082">
        <w:rPr>
          <w:rFonts w:asciiTheme="minorEastAsia" w:eastAsiaTheme="minorEastAsia" w:hAnsiTheme="minorEastAsia" w:cs="Times New Roman" w:hint="eastAsia"/>
          <w:sz w:val="21"/>
          <w:szCs w:val="21"/>
        </w:rPr>
        <w:t>的总体思路、目标要求、改革任务和重点举措。</w:t>
      </w:r>
      <w:r>
        <w:rPr>
          <w:rFonts w:ascii="Times New Roman" w:eastAsiaTheme="minorEastAsia" w:hAnsi="Times New Roman" w:cs="Times New Roman"/>
          <w:sz w:val="21"/>
          <w:szCs w:val="21"/>
        </w:rPr>
        <w:t>来源：《</w:t>
      </w:r>
      <w:r w:rsidR="002D4082">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2D4082">
        <w:rPr>
          <w:rFonts w:ascii="Times New Roman" w:eastAsiaTheme="minorEastAsia" w:hAnsi="Times New Roman" w:cs="Times New Roman" w:hint="eastAsia"/>
          <w:sz w:val="21"/>
          <w:szCs w:val="21"/>
        </w:rPr>
        <w:t>10</w:t>
      </w:r>
      <w:r>
        <w:rPr>
          <w:rFonts w:ascii="Times New Roman" w:eastAsiaTheme="minorEastAsia" w:hAnsi="Times New Roman" w:cs="Times New Roman"/>
          <w:sz w:val="21"/>
          <w:szCs w:val="21"/>
        </w:rPr>
        <w:t>月</w:t>
      </w:r>
      <w:r w:rsidR="004A630F">
        <w:rPr>
          <w:rFonts w:ascii="Times New Roman" w:eastAsiaTheme="minorEastAsia" w:hAnsi="Times New Roman" w:cs="Times New Roman" w:hint="eastAsia"/>
          <w:sz w:val="21"/>
          <w:szCs w:val="21"/>
        </w:rPr>
        <w:t>1</w:t>
      </w:r>
      <w:r w:rsidR="002D4082">
        <w:rPr>
          <w:rFonts w:ascii="Times New Roman" w:eastAsiaTheme="minorEastAsia" w:hAnsi="Times New Roman" w:cs="Times New Roman" w:hint="eastAsia"/>
          <w:sz w:val="21"/>
          <w:szCs w:val="21"/>
        </w:rPr>
        <w:t>8</w:t>
      </w:r>
      <w:r>
        <w:rPr>
          <w:rFonts w:ascii="Times New Roman" w:eastAsiaTheme="minorEastAsia" w:hAnsi="Times New Roman" w:cs="Times New Roman"/>
          <w:sz w:val="21"/>
          <w:szCs w:val="21"/>
        </w:rPr>
        <w:t>日）</w:t>
      </w:r>
    </w:p>
    <w:p w:rsidR="00F67DF7" w:rsidRPr="007947F1" w:rsidRDefault="00F67DF7" w:rsidP="008C5A90">
      <w:pPr>
        <w:spacing w:beforeLines="50" w:before="120" w:afterLines="0" w:line="324" w:lineRule="auto"/>
        <w:rPr>
          <w:rFonts w:ascii="Times New Roman" w:eastAsiaTheme="minorEastAsia" w:hAnsi="Times New Roman" w:cs="Times New Roman"/>
          <w:sz w:val="21"/>
          <w:szCs w:val="21"/>
        </w:rPr>
      </w:pPr>
      <w:r w:rsidRPr="00C30AFF">
        <w:rPr>
          <w:rFonts w:asciiTheme="minorEastAsia" w:eastAsiaTheme="minorEastAsia" w:hAnsiTheme="minorEastAsia" w:hint="eastAsia"/>
          <w:b/>
          <w:bCs/>
          <w:sz w:val="24"/>
          <w:szCs w:val="24"/>
        </w:rPr>
        <w:t>▲</w:t>
      </w:r>
      <w:r w:rsidR="00563159" w:rsidRPr="00C30AFF">
        <w:rPr>
          <w:rFonts w:asciiTheme="minorEastAsia" w:eastAsiaTheme="minorEastAsia" w:hAnsiTheme="minorEastAsia"/>
          <w:b/>
          <w:bCs/>
          <w:sz w:val="24"/>
          <w:szCs w:val="24"/>
        </w:rPr>
        <w:t>教育部印发《关于实施卓越教师培养计</w:t>
      </w:r>
      <w:r w:rsidR="00563159" w:rsidRPr="007947F1">
        <w:rPr>
          <w:rFonts w:ascii="Times New Roman" w:eastAsiaTheme="minorEastAsia" w:hAnsi="Times New Roman" w:cs="Times New Roman"/>
          <w:b/>
          <w:bCs/>
          <w:sz w:val="24"/>
          <w:szCs w:val="24"/>
        </w:rPr>
        <w:t>划</w:t>
      </w:r>
      <w:r w:rsidR="00563159" w:rsidRPr="007947F1">
        <w:rPr>
          <w:rFonts w:ascii="Times New Roman" w:eastAsiaTheme="minorEastAsia" w:hAnsi="Times New Roman" w:cs="Times New Roman"/>
          <w:b/>
          <w:bCs/>
          <w:sz w:val="24"/>
          <w:szCs w:val="24"/>
        </w:rPr>
        <w:t>2.0</w:t>
      </w:r>
      <w:r w:rsidR="00563159" w:rsidRPr="007947F1">
        <w:rPr>
          <w:rFonts w:ascii="Times New Roman" w:eastAsiaTheme="minorEastAsia" w:hAnsi="Times New Roman" w:cs="Times New Roman"/>
          <w:b/>
          <w:bCs/>
          <w:sz w:val="24"/>
          <w:szCs w:val="24"/>
        </w:rPr>
        <w:t>的</w:t>
      </w:r>
      <w:r w:rsidR="00563159" w:rsidRPr="00C30AFF">
        <w:rPr>
          <w:rFonts w:asciiTheme="minorEastAsia" w:eastAsiaTheme="minorEastAsia" w:hAnsiTheme="minorEastAsia"/>
          <w:b/>
          <w:bCs/>
          <w:sz w:val="24"/>
          <w:szCs w:val="24"/>
        </w:rPr>
        <w:t>意见》</w:t>
      </w:r>
      <w:r w:rsidR="00563159" w:rsidRPr="00C30AFF">
        <w:rPr>
          <w:rFonts w:asciiTheme="minorEastAsia" w:eastAsiaTheme="minorEastAsia" w:hAnsiTheme="minorEastAsia" w:hint="eastAsia"/>
          <w:b/>
          <w:bCs/>
          <w:sz w:val="24"/>
          <w:szCs w:val="24"/>
        </w:rPr>
        <w:t xml:space="preserve"> </w:t>
      </w:r>
      <w:r w:rsidR="00563159" w:rsidRPr="00563159">
        <w:rPr>
          <w:rFonts w:asciiTheme="minorEastAsia" w:eastAsiaTheme="minorEastAsia" w:hAnsiTheme="minorEastAsia" w:cs="Times New Roman"/>
          <w:sz w:val="21"/>
          <w:szCs w:val="21"/>
        </w:rPr>
        <w:t>教育部近日印发《关于实施卓越教师培养计</w:t>
      </w:r>
      <w:r w:rsidR="00563159" w:rsidRPr="007947F1">
        <w:rPr>
          <w:rFonts w:ascii="Times New Roman" w:eastAsiaTheme="minorEastAsia" w:hAnsi="Times New Roman" w:cs="Times New Roman"/>
          <w:sz w:val="21"/>
          <w:szCs w:val="21"/>
        </w:rPr>
        <w:t>划</w:t>
      </w:r>
      <w:r w:rsidR="00563159" w:rsidRPr="007947F1">
        <w:rPr>
          <w:rFonts w:ascii="Times New Roman" w:eastAsiaTheme="minorEastAsia" w:hAnsi="Times New Roman" w:cs="Times New Roman"/>
          <w:sz w:val="21"/>
          <w:szCs w:val="21"/>
        </w:rPr>
        <w:t>2.0</w:t>
      </w:r>
      <w:r w:rsidR="00563159" w:rsidRPr="007947F1">
        <w:rPr>
          <w:rFonts w:ascii="Times New Roman" w:eastAsiaTheme="minorEastAsia" w:hAnsi="Times New Roman" w:cs="Times New Roman"/>
          <w:sz w:val="21"/>
          <w:szCs w:val="21"/>
        </w:rPr>
        <w:t>的意见》。《意见》提出，经过</w:t>
      </w:r>
      <w:r w:rsidR="00563159" w:rsidRPr="007947F1">
        <w:rPr>
          <w:rFonts w:ascii="Times New Roman" w:eastAsiaTheme="minorEastAsia" w:hAnsi="Times New Roman" w:cs="Times New Roman"/>
          <w:sz w:val="21"/>
          <w:szCs w:val="21"/>
        </w:rPr>
        <w:t>5</w:t>
      </w:r>
      <w:r w:rsidR="00563159" w:rsidRPr="007947F1">
        <w:rPr>
          <w:rFonts w:ascii="Times New Roman" w:eastAsiaTheme="minorEastAsia" w:hAnsi="Times New Roman" w:cs="Times New Roman"/>
          <w:sz w:val="21"/>
          <w:szCs w:val="21"/>
        </w:rPr>
        <w:t>年左右</w:t>
      </w:r>
      <w:r w:rsidR="00563159" w:rsidRPr="00563159">
        <w:rPr>
          <w:rFonts w:asciiTheme="minorEastAsia" w:eastAsiaTheme="minorEastAsia" w:hAnsiTheme="minorEastAsia" w:cs="Times New Roman"/>
          <w:sz w:val="21"/>
          <w:szCs w:val="21"/>
        </w:rPr>
        <w:t>努力，办好一批高水平、有特色的教师教育院校和师范专业，以师范生为中心的教育教学新形态基本形成。到</w:t>
      </w:r>
      <w:r w:rsidR="00563159" w:rsidRPr="007947F1">
        <w:rPr>
          <w:rFonts w:ascii="Times New Roman" w:eastAsiaTheme="minorEastAsia" w:hAnsi="Times New Roman" w:cs="Times New Roman"/>
          <w:sz w:val="21"/>
          <w:szCs w:val="21"/>
        </w:rPr>
        <w:t>2035</w:t>
      </w:r>
      <w:r w:rsidR="00563159" w:rsidRPr="007947F1">
        <w:rPr>
          <w:rFonts w:ascii="Times New Roman" w:eastAsiaTheme="minorEastAsia" w:hAnsi="Times New Roman" w:cs="Times New Roman"/>
          <w:sz w:val="21"/>
          <w:szCs w:val="21"/>
        </w:rPr>
        <w:t>年</w:t>
      </w:r>
      <w:r w:rsidR="00563159" w:rsidRPr="00563159">
        <w:rPr>
          <w:rFonts w:asciiTheme="minorEastAsia" w:eastAsiaTheme="minorEastAsia" w:hAnsiTheme="minorEastAsia" w:cs="Times New Roman"/>
          <w:sz w:val="21"/>
          <w:szCs w:val="21"/>
        </w:rPr>
        <w:t>，师范生的综合素质、专业化水平和创新能力显著提升，为培养造就数以百万计的骨干教师、数以十万计的卓越教师、数以万计的教育家型教师奠定坚实基础。在分类推进培养模式改革方面，《意见》对卓越中学、小学、幼儿园、中等职业学校和特殊教育学校教师培养改革作出说明。其中，面向培养专业突出、底蕴深厚的卓越中学教师，要重点探索本科和教育硕士研究生阶段整体设计、分段考核、有机衔接的培养模式，积极支持高水平综合大学参与。</w:t>
      </w:r>
      <w:r w:rsidRPr="00047F28">
        <w:rPr>
          <w:rFonts w:asciiTheme="minorEastAsia" w:eastAsiaTheme="minorEastAsia" w:hAnsiTheme="minorEastAsia" w:cs="Times New Roman" w:hint="eastAsia"/>
          <w:sz w:val="21"/>
          <w:szCs w:val="21"/>
        </w:rPr>
        <w:t>来源：《</w:t>
      </w:r>
      <w:r w:rsidR="00563159">
        <w:rPr>
          <w:rFonts w:asciiTheme="minorEastAsia" w:eastAsiaTheme="minorEastAsia" w:hAnsiTheme="minorEastAsia" w:cs="Times New Roman" w:hint="eastAsia"/>
          <w:sz w:val="21"/>
          <w:szCs w:val="21"/>
        </w:rPr>
        <w:t>中国教育报</w:t>
      </w:r>
      <w:r w:rsidRPr="00047F28">
        <w:rPr>
          <w:rFonts w:asciiTheme="minorEastAsia" w:eastAsiaTheme="minorEastAsia" w:hAnsiTheme="minorEastAsia" w:cs="Times New Roman" w:hint="eastAsia"/>
          <w:sz w:val="21"/>
          <w:szCs w:val="21"/>
        </w:rPr>
        <w:t>》（</w:t>
      </w:r>
      <w:r w:rsidRPr="007947F1">
        <w:rPr>
          <w:rFonts w:ascii="Times New Roman" w:eastAsiaTheme="minorEastAsia" w:hAnsi="Times New Roman" w:cs="Times New Roman"/>
          <w:sz w:val="21"/>
          <w:szCs w:val="21"/>
        </w:rPr>
        <w:t>2018</w:t>
      </w:r>
      <w:r w:rsidRPr="007947F1">
        <w:rPr>
          <w:rFonts w:ascii="Times New Roman" w:eastAsiaTheme="minorEastAsia" w:hAnsi="Times New Roman" w:cs="Times New Roman"/>
          <w:sz w:val="21"/>
          <w:szCs w:val="21"/>
        </w:rPr>
        <w:t>年</w:t>
      </w:r>
      <w:r w:rsidR="00563159" w:rsidRPr="007947F1">
        <w:rPr>
          <w:rFonts w:ascii="Times New Roman" w:eastAsiaTheme="minorEastAsia" w:hAnsi="Times New Roman" w:cs="Times New Roman"/>
          <w:sz w:val="21"/>
          <w:szCs w:val="21"/>
        </w:rPr>
        <w:t>10</w:t>
      </w:r>
      <w:r w:rsidRPr="007947F1">
        <w:rPr>
          <w:rFonts w:ascii="Times New Roman" w:eastAsiaTheme="minorEastAsia" w:hAnsi="Times New Roman" w:cs="Times New Roman"/>
          <w:sz w:val="21"/>
          <w:szCs w:val="21"/>
        </w:rPr>
        <w:t>月</w:t>
      </w:r>
      <w:r w:rsidR="00563159" w:rsidRPr="007947F1">
        <w:rPr>
          <w:rFonts w:ascii="Times New Roman" w:eastAsiaTheme="minorEastAsia" w:hAnsi="Times New Roman" w:cs="Times New Roman"/>
          <w:sz w:val="21"/>
          <w:szCs w:val="21"/>
        </w:rPr>
        <w:t>10</w:t>
      </w:r>
      <w:r w:rsidRPr="007947F1">
        <w:rPr>
          <w:rFonts w:ascii="Times New Roman" w:eastAsiaTheme="minorEastAsia" w:hAnsi="Times New Roman" w:cs="Times New Roman"/>
          <w:sz w:val="21"/>
          <w:szCs w:val="21"/>
        </w:rPr>
        <w:t>日）</w:t>
      </w:r>
    </w:p>
    <w:p w:rsidR="00F67DF7" w:rsidRPr="007947F1" w:rsidRDefault="00F67DF7" w:rsidP="008C5A90">
      <w:pPr>
        <w:spacing w:beforeLines="50" w:before="120" w:afterLines="0" w:line="324" w:lineRule="auto"/>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563159" w:rsidRPr="007947F1">
        <w:rPr>
          <w:rFonts w:ascii="Times New Roman" w:eastAsiaTheme="minorEastAsia" w:hAnsi="Times New Roman" w:cs="Times New Roman"/>
          <w:b/>
          <w:bCs/>
          <w:sz w:val="24"/>
          <w:szCs w:val="24"/>
        </w:rPr>
        <w:t>2017</w:t>
      </w:r>
      <w:r w:rsidR="00563159" w:rsidRPr="00563159">
        <w:rPr>
          <w:rFonts w:asciiTheme="minorEastAsia" w:eastAsiaTheme="minorEastAsia" w:hAnsiTheme="minorEastAsia"/>
          <w:b/>
          <w:bCs/>
          <w:sz w:val="24"/>
          <w:szCs w:val="24"/>
        </w:rPr>
        <w:t>年全国教育经费执行情况统计公告发布</w:t>
      </w:r>
      <w:r w:rsidR="00563159">
        <w:rPr>
          <w:rFonts w:asciiTheme="minorEastAsia" w:eastAsiaTheme="minorEastAsia" w:hAnsiTheme="minorEastAsia" w:hint="eastAsia"/>
          <w:b/>
          <w:bCs/>
          <w:sz w:val="24"/>
          <w:szCs w:val="24"/>
        </w:rPr>
        <w:t xml:space="preserve"> </w:t>
      </w:r>
      <w:r w:rsidR="00563159" w:rsidRPr="00563159">
        <w:rPr>
          <w:rFonts w:asciiTheme="minorEastAsia" w:eastAsiaTheme="minorEastAsia" w:hAnsiTheme="minorEastAsia" w:cs="Times New Roman"/>
          <w:sz w:val="21"/>
          <w:szCs w:val="21"/>
        </w:rPr>
        <w:t>教育部、国家统计局、财政部近日发布</w:t>
      </w:r>
      <w:r w:rsidR="00563159" w:rsidRPr="007947F1">
        <w:rPr>
          <w:rFonts w:ascii="Times New Roman" w:eastAsiaTheme="minorEastAsia" w:hAnsi="Times New Roman" w:cs="Times New Roman"/>
          <w:sz w:val="21"/>
          <w:szCs w:val="21"/>
        </w:rPr>
        <w:t>了</w:t>
      </w:r>
      <w:r w:rsidR="00563159" w:rsidRPr="007947F1">
        <w:rPr>
          <w:rFonts w:ascii="Times New Roman" w:eastAsiaTheme="minorEastAsia" w:hAnsi="Times New Roman" w:cs="Times New Roman"/>
          <w:sz w:val="21"/>
          <w:szCs w:val="21"/>
        </w:rPr>
        <w:t>2017</w:t>
      </w:r>
      <w:r w:rsidR="00563159" w:rsidRPr="007947F1">
        <w:rPr>
          <w:rFonts w:ascii="Times New Roman" w:eastAsiaTheme="minorEastAsia" w:hAnsi="Times New Roman" w:cs="Times New Roman"/>
          <w:sz w:val="21"/>
          <w:szCs w:val="21"/>
        </w:rPr>
        <w:t>年全国教育经费执行情况统计公告。公告显示，</w:t>
      </w:r>
      <w:r w:rsidR="00563159" w:rsidRPr="007947F1">
        <w:rPr>
          <w:rFonts w:ascii="Times New Roman" w:eastAsiaTheme="minorEastAsia" w:hAnsi="Times New Roman" w:cs="Times New Roman"/>
          <w:sz w:val="21"/>
          <w:szCs w:val="21"/>
        </w:rPr>
        <w:t>2017</w:t>
      </w:r>
      <w:r w:rsidR="00563159" w:rsidRPr="007947F1">
        <w:rPr>
          <w:rFonts w:ascii="Times New Roman" w:eastAsiaTheme="minorEastAsia" w:hAnsi="Times New Roman" w:cs="Times New Roman"/>
          <w:sz w:val="21"/>
          <w:szCs w:val="21"/>
        </w:rPr>
        <w:t>年全国教育经费总投入为</w:t>
      </w:r>
      <w:r w:rsidR="00563159" w:rsidRPr="007947F1">
        <w:rPr>
          <w:rFonts w:ascii="Times New Roman" w:eastAsiaTheme="minorEastAsia" w:hAnsi="Times New Roman" w:cs="Times New Roman"/>
          <w:sz w:val="21"/>
          <w:szCs w:val="21"/>
        </w:rPr>
        <w:t>42562.01</w:t>
      </w:r>
      <w:r w:rsidR="00563159" w:rsidRPr="007947F1">
        <w:rPr>
          <w:rFonts w:ascii="Times New Roman" w:eastAsiaTheme="minorEastAsia" w:hAnsi="Times New Roman" w:cs="Times New Roman"/>
          <w:sz w:val="21"/>
          <w:szCs w:val="21"/>
        </w:rPr>
        <w:t>亿元，</w:t>
      </w:r>
      <w:r w:rsidR="00563159" w:rsidRPr="00563159">
        <w:rPr>
          <w:rFonts w:asciiTheme="minorEastAsia" w:eastAsiaTheme="minorEastAsia" w:hAnsiTheme="minorEastAsia" w:cs="Times New Roman"/>
          <w:sz w:val="21"/>
          <w:szCs w:val="21"/>
        </w:rPr>
        <w:t>比上</w:t>
      </w:r>
      <w:r w:rsidR="00563159" w:rsidRPr="007947F1">
        <w:rPr>
          <w:rFonts w:ascii="Times New Roman" w:eastAsiaTheme="minorEastAsia" w:hAnsi="Times New Roman" w:cs="Times New Roman"/>
          <w:sz w:val="21"/>
          <w:szCs w:val="21"/>
        </w:rPr>
        <w:lastRenderedPageBreak/>
        <w:t>年的</w:t>
      </w:r>
      <w:r w:rsidR="00563159" w:rsidRPr="007947F1">
        <w:rPr>
          <w:rFonts w:ascii="Times New Roman" w:eastAsiaTheme="minorEastAsia" w:hAnsi="Times New Roman" w:cs="Times New Roman"/>
          <w:sz w:val="21"/>
          <w:szCs w:val="21"/>
        </w:rPr>
        <w:t>38888.39</w:t>
      </w:r>
      <w:r w:rsidR="00563159" w:rsidRPr="007947F1">
        <w:rPr>
          <w:rFonts w:ascii="Times New Roman" w:eastAsiaTheme="minorEastAsia" w:hAnsi="Times New Roman" w:cs="Times New Roman"/>
          <w:sz w:val="21"/>
          <w:szCs w:val="21"/>
        </w:rPr>
        <w:t>亿元增长</w:t>
      </w:r>
      <w:r w:rsidR="00563159" w:rsidRPr="007947F1">
        <w:rPr>
          <w:rFonts w:ascii="Times New Roman" w:eastAsiaTheme="minorEastAsia" w:hAnsi="Times New Roman" w:cs="Times New Roman"/>
          <w:sz w:val="21"/>
          <w:szCs w:val="21"/>
        </w:rPr>
        <w:t>9.45%</w:t>
      </w:r>
      <w:r w:rsidR="00563159" w:rsidRPr="007947F1">
        <w:rPr>
          <w:rFonts w:ascii="Times New Roman" w:eastAsiaTheme="minorEastAsia" w:hAnsi="Times New Roman" w:cs="Times New Roman"/>
          <w:sz w:val="21"/>
          <w:szCs w:val="21"/>
        </w:rPr>
        <w:t>。国家财政性教育经费为</w:t>
      </w:r>
      <w:r w:rsidR="00563159" w:rsidRPr="007947F1">
        <w:rPr>
          <w:rFonts w:ascii="Times New Roman" w:eastAsiaTheme="minorEastAsia" w:hAnsi="Times New Roman" w:cs="Times New Roman"/>
          <w:sz w:val="21"/>
          <w:szCs w:val="21"/>
        </w:rPr>
        <w:t>34207.75</w:t>
      </w:r>
      <w:r w:rsidR="00563159" w:rsidRPr="007947F1">
        <w:rPr>
          <w:rFonts w:ascii="Times New Roman" w:eastAsiaTheme="minorEastAsia" w:hAnsi="Times New Roman" w:cs="Times New Roman"/>
          <w:sz w:val="21"/>
          <w:szCs w:val="21"/>
        </w:rPr>
        <w:t>亿元，比上年的</w:t>
      </w:r>
      <w:r w:rsidR="00563159" w:rsidRPr="007947F1">
        <w:rPr>
          <w:rFonts w:ascii="Times New Roman" w:eastAsiaTheme="minorEastAsia" w:hAnsi="Times New Roman" w:cs="Times New Roman"/>
          <w:sz w:val="21"/>
          <w:szCs w:val="21"/>
        </w:rPr>
        <w:t>31396.25</w:t>
      </w:r>
      <w:r w:rsidR="00563159" w:rsidRPr="007947F1">
        <w:rPr>
          <w:rFonts w:ascii="Times New Roman" w:eastAsiaTheme="minorEastAsia" w:hAnsi="Times New Roman" w:cs="Times New Roman"/>
          <w:sz w:val="21"/>
          <w:szCs w:val="21"/>
        </w:rPr>
        <w:t>亿元增长</w:t>
      </w:r>
      <w:r w:rsidR="00563159" w:rsidRPr="007947F1">
        <w:rPr>
          <w:rFonts w:ascii="Times New Roman" w:eastAsiaTheme="minorEastAsia" w:hAnsi="Times New Roman" w:cs="Times New Roman"/>
          <w:sz w:val="21"/>
          <w:szCs w:val="21"/>
        </w:rPr>
        <w:t>8.95%</w:t>
      </w:r>
      <w:r w:rsidR="00563159" w:rsidRPr="007947F1">
        <w:rPr>
          <w:rFonts w:ascii="Times New Roman" w:eastAsiaTheme="minorEastAsia" w:hAnsi="Times New Roman" w:cs="Times New Roman"/>
          <w:sz w:val="21"/>
          <w:szCs w:val="21"/>
        </w:rPr>
        <w:t>，占</w:t>
      </w:r>
      <w:r w:rsidR="00563159" w:rsidRPr="007947F1">
        <w:rPr>
          <w:rFonts w:ascii="Times New Roman" w:eastAsiaTheme="minorEastAsia" w:hAnsi="Times New Roman" w:cs="Times New Roman"/>
          <w:sz w:val="21"/>
          <w:szCs w:val="21"/>
        </w:rPr>
        <w:t>GDP</w:t>
      </w:r>
      <w:r w:rsidR="00563159" w:rsidRPr="007947F1">
        <w:rPr>
          <w:rFonts w:ascii="Times New Roman" w:eastAsiaTheme="minorEastAsia" w:hAnsi="Times New Roman" w:cs="Times New Roman"/>
          <w:sz w:val="21"/>
          <w:szCs w:val="21"/>
        </w:rPr>
        <w:t>比例为</w:t>
      </w:r>
      <w:r w:rsidR="00563159" w:rsidRPr="007947F1">
        <w:rPr>
          <w:rFonts w:ascii="Times New Roman" w:eastAsiaTheme="minorEastAsia" w:hAnsi="Times New Roman" w:cs="Times New Roman"/>
          <w:sz w:val="21"/>
          <w:szCs w:val="21"/>
        </w:rPr>
        <w:t>4.14%</w:t>
      </w:r>
      <w:r w:rsidR="00563159" w:rsidRPr="007947F1">
        <w:rPr>
          <w:rFonts w:ascii="Times New Roman" w:eastAsiaTheme="minorEastAsia" w:hAnsi="Times New Roman" w:cs="Times New Roman"/>
          <w:sz w:val="21"/>
          <w:szCs w:val="21"/>
        </w:rPr>
        <w:t>。全国一般公共预算教育经费占一般公共预算支出</w:t>
      </w:r>
      <w:r w:rsidR="00563159" w:rsidRPr="007947F1">
        <w:rPr>
          <w:rFonts w:ascii="Times New Roman" w:eastAsiaTheme="minorEastAsia" w:hAnsi="Times New Roman" w:cs="Times New Roman"/>
          <w:sz w:val="21"/>
          <w:szCs w:val="21"/>
        </w:rPr>
        <w:t>203330.03</w:t>
      </w:r>
      <w:r w:rsidR="00563159" w:rsidRPr="007947F1">
        <w:rPr>
          <w:rFonts w:ascii="Times New Roman" w:eastAsiaTheme="minorEastAsia" w:hAnsi="Times New Roman" w:cs="Times New Roman"/>
          <w:sz w:val="21"/>
          <w:szCs w:val="21"/>
        </w:rPr>
        <w:t>亿元的比例为</w:t>
      </w:r>
      <w:r w:rsidR="00563159" w:rsidRPr="007947F1">
        <w:rPr>
          <w:rFonts w:ascii="Times New Roman" w:eastAsiaTheme="minorEastAsia" w:hAnsi="Times New Roman" w:cs="Times New Roman"/>
          <w:sz w:val="21"/>
          <w:szCs w:val="21"/>
        </w:rPr>
        <w:t>14.71%</w:t>
      </w:r>
      <w:r w:rsidR="00563159" w:rsidRPr="007947F1">
        <w:rPr>
          <w:rFonts w:ascii="Times New Roman" w:eastAsiaTheme="minorEastAsia" w:hAnsi="Times New Roman" w:cs="Times New Roman"/>
          <w:sz w:val="21"/>
          <w:szCs w:val="21"/>
        </w:rPr>
        <w:t>，比上年的</w:t>
      </w:r>
      <w:r w:rsidR="00563159" w:rsidRPr="007947F1">
        <w:rPr>
          <w:rFonts w:ascii="Times New Roman" w:eastAsiaTheme="minorEastAsia" w:hAnsi="Times New Roman" w:cs="Times New Roman"/>
          <w:sz w:val="21"/>
          <w:szCs w:val="21"/>
        </w:rPr>
        <w:t>14.75%</w:t>
      </w:r>
      <w:r w:rsidR="00563159" w:rsidRPr="007947F1">
        <w:rPr>
          <w:rFonts w:ascii="Times New Roman" w:eastAsiaTheme="minorEastAsia" w:hAnsi="Times New Roman" w:cs="Times New Roman"/>
          <w:sz w:val="21"/>
          <w:szCs w:val="21"/>
        </w:rPr>
        <w:t>降低了</w:t>
      </w:r>
      <w:r w:rsidR="00563159" w:rsidRPr="007947F1">
        <w:rPr>
          <w:rFonts w:ascii="Times New Roman" w:eastAsiaTheme="minorEastAsia" w:hAnsi="Times New Roman" w:cs="Times New Roman"/>
          <w:sz w:val="21"/>
          <w:szCs w:val="21"/>
        </w:rPr>
        <w:t>0.04</w:t>
      </w:r>
      <w:r w:rsidR="00563159" w:rsidRPr="007947F1">
        <w:rPr>
          <w:rFonts w:ascii="Times New Roman" w:eastAsiaTheme="minorEastAsia" w:hAnsi="Times New Roman" w:cs="Times New Roman"/>
          <w:sz w:val="21"/>
          <w:szCs w:val="21"/>
        </w:rPr>
        <w:t>个百分点。根据统计公告，</w:t>
      </w:r>
      <w:r w:rsidR="00563159" w:rsidRPr="007947F1">
        <w:rPr>
          <w:rFonts w:ascii="Times New Roman" w:eastAsiaTheme="minorEastAsia" w:hAnsi="Times New Roman" w:cs="Times New Roman"/>
          <w:sz w:val="21"/>
          <w:szCs w:val="21"/>
        </w:rPr>
        <w:t>2017</w:t>
      </w:r>
      <w:r w:rsidR="00563159" w:rsidRPr="007947F1">
        <w:rPr>
          <w:rFonts w:ascii="Times New Roman" w:eastAsiaTheme="minorEastAsia" w:hAnsi="Times New Roman" w:cs="Times New Roman"/>
          <w:sz w:val="21"/>
          <w:szCs w:val="21"/>
        </w:rPr>
        <w:t>年全国普通小学、普通初中、普通高中、中等职业学校、普通高等学校生均一般公共预算教育事业费支出增幅分别为：</w:t>
      </w:r>
      <w:r w:rsidR="00563159" w:rsidRPr="007947F1">
        <w:rPr>
          <w:rFonts w:ascii="Times New Roman" w:eastAsiaTheme="minorEastAsia" w:hAnsi="Times New Roman" w:cs="Times New Roman"/>
          <w:sz w:val="21"/>
          <w:szCs w:val="21"/>
        </w:rPr>
        <w:t>6.71%</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9.13%</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11.80%</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8.55%</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8.27%</w:t>
      </w:r>
      <w:r w:rsidR="00563159" w:rsidRPr="007947F1">
        <w:rPr>
          <w:rFonts w:ascii="Times New Roman" w:eastAsiaTheme="minorEastAsia" w:hAnsi="Times New Roman" w:cs="Times New Roman"/>
          <w:sz w:val="21"/>
          <w:szCs w:val="21"/>
        </w:rPr>
        <w:t>；全国普通小学、普通初中、普通高中、中等职业学校、普通高等学校生均一般公共预算公用经费支出增幅分别为：</w:t>
      </w:r>
      <w:r w:rsidR="00563159" w:rsidRPr="007947F1">
        <w:rPr>
          <w:rFonts w:ascii="Times New Roman" w:eastAsiaTheme="minorEastAsia" w:hAnsi="Times New Roman" w:cs="Times New Roman"/>
          <w:sz w:val="21"/>
          <w:szCs w:val="21"/>
        </w:rPr>
        <w:t>4.64%</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6.47%</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6.18%</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2.71%</w:t>
      </w:r>
      <w:r w:rsidR="00563159" w:rsidRPr="007947F1">
        <w:rPr>
          <w:rFonts w:ascii="Times New Roman" w:eastAsiaTheme="minorEastAsia" w:hAnsi="Times New Roman" w:cs="Times New Roman"/>
          <w:sz w:val="21"/>
          <w:szCs w:val="21"/>
        </w:rPr>
        <w:t>、</w:t>
      </w:r>
      <w:r w:rsidR="00563159" w:rsidRPr="007947F1">
        <w:rPr>
          <w:rFonts w:ascii="Times New Roman" w:eastAsiaTheme="minorEastAsia" w:hAnsi="Times New Roman" w:cs="Times New Roman"/>
          <w:sz w:val="21"/>
          <w:szCs w:val="21"/>
        </w:rPr>
        <w:t>5.44 %</w:t>
      </w:r>
      <w:r w:rsidR="00563159" w:rsidRPr="007947F1">
        <w:rPr>
          <w:rFonts w:ascii="Times New Roman" w:eastAsiaTheme="minorEastAsia" w:hAnsi="Times New Roman" w:cs="Times New Roman"/>
          <w:sz w:val="21"/>
          <w:szCs w:val="21"/>
        </w:rPr>
        <w:t>。</w:t>
      </w:r>
      <w:r w:rsidRPr="007947F1">
        <w:rPr>
          <w:rFonts w:ascii="Times New Roman" w:eastAsiaTheme="minorEastAsia" w:hAnsi="Times New Roman" w:cs="Times New Roman"/>
          <w:sz w:val="21"/>
          <w:szCs w:val="21"/>
        </w:rPr>
        <w:t>来源：《</w:t>
      </w:r>
      <w:r w:rsidR="00563159" w:rsidRPr="007947F1">
        <w:rPr>
          <w:rFonts w:ascii="Times New Roman" w:eastAsiaTheme="minorEastAsia" w:hAnsi="Times New Roman" w:cs="Times New Roman"/>
          <w:sz w:val="21"/>
          <w:szCs w:val="21"/>
        </w:rPr>
        <w:t>教育部网站</w:t>
      </w:r>
      <w:r w:rsidRPr="007947F1">
        <w:rPr>
          <w:rFonts w:ascii="Times New Roman" w:eastAsiaTheme="minorEastAsia" w:hAnsi="Times New Roman" w:cs="Times New Roman"/>
          <w:sz w:val="21"/>
          <w:szCs w:val="21"/>
        </w:rPr>
        <w:t>》（</w:t>
      </w:r>
      <w:r w:rsidRPr="007947F1">
        <w:rPr>
          <w:rFonts w:ascii="Times New Roman" w:eastAsiaTheme="minorEastAsia" w:hAnsi="Times New Roman" w:cs="Times New Roman"/>
          <w:sz w:val="21"/>
          <w:szCs w:val="21"/>
        </w:rPr>
        <w:t>2018</w:t>
      </w:r>
      <w:r w:rsidRPr="007947F1">
        <w:rPr>
          <w:rFonts w:ascii="Times New Roman" w:eastAsiaTheme="minorEastAsia" w:hAnsi="Times New Roman" w:cs="Times New Roman"/>
          <w:sz w:val="21"/>
          <w:szCs w:val="21"/>
        </w:rPr>
        <w:t>年</w:t>
      </w:r>
      <w:r w:rsidR="00563159" w:rsidRPr="007947F1">
        <w:rPr>
          <w:rFonts w:ascii="Times New Roman" w:eastAsiaTheme="minorEastAsia" w:hAnsi="Times New Roman" w:cs="Times New Roman"/>
          <w:sz w:val="21"/>
          <w:szCs w:val="21"/>
        </w:rPr>
        <w:t>10</w:t>
      </w:r>
      <w:r w:rsidRPr="007947F1">
        <w:rPr>
          <w:rFonts w:ascii="Times New Roman" w:eastAsiaTheme="minorEastAsia" w:hAnsi="Times New Roman" w:cs="Times New Roman"/>
          <w:sz w:val="21"/>
          <w:szCs w:val="21"/>
        </w:rPr>
        <w:t>月</w:t>
      </w:r>
      <w:r w:rsidRPr="007947F1">
        <w:rPr>
          <w:rFonts w:ascii="Times New Roman" w:eastAsiaTheme="minorEastAsia" w:hAnsi="Times New Roman" w:cs="Times New Roman"/>
          <w:sz w:val="21"/>
          <w:szCs w:val="21"/>
        </w:rPr>
        <w:t>1</w:t>
      </w:r>
      <w:r w:rsidR="00563159" w:rsidRPr="007947F1">
        <w:rPr>
          <w:rFonts w:ascii="Times New Roman" w:eastAsiaTheme="minorEastAsia" w:hAnsi="Times New Roman" w:cs="Times New Roman"/>
          <w:sz w:val="21"/>
          <w:szCs w:val="21"/>
        </w:rPr>
        <w:t>5</w:t>
      </w:r>
      <w:r w:rsidRPr="007947F1">
        <w:rPr>
          <w:rFonts w:ascii="Times New Roman" w:eastAsiaTheme="minorEastAsia" w:hAnsi="Times New Roman" w:cs="Times New Roman"/>
          <w:sz w:val="21"/>
          <w:szCs w:val="21"/>
        </w:rPr>
        <w:t>日）</w:t>
      </w:r>
    </w:p>
    <w:p w:rsidR="00F67DF7" w:rsidRPr="007947F1" w:rsidRDefault="00F67DF7" w:rsidP="008C5A90">
      <w:pPr>
        <w:spacing w:beforeLines="50" w:before="120" w:afterLines="0" w:line="324" w:lineRule="auto"/>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0A09B3" w:rsidRPr="000A09B3">
        <w:rPr>
          <w:rFonts w:asciiTheme="minorEastAsia" w:eastAsiaTheme="minorEastAsia" w:hAnsiTheme="minorEastAsia" w:hint="eastAsia"/>
          <w:b/>
          <w:bCs/>
          <w:sz w:val="24"/>
          <w:szCs w:val="24"/>
        </w:rPr>
        <w:t>科技部等五部门发文开展清理“四唯”专项行动</w:t>
      </w:r>
      <w:r w:rsidR="000A09B3">
        <w:rPr>
          <w:rFonts w:asciiTheme="minorEastAsia" w:eastAsiaTheme="minorEastAsia" w:hAnsiTheme="minorEastAsia" w:hint="eastAsia"/>
          <w:b/>
          <w:bCs/>
          <w:sz w:val="24"/>
          <w:szCs w:val="24"/>
        </w:rPr>
        <w:t xml:space="preserve"> </w:t>
      </w:r>
      <w:r w:rsidR="000A09B3" w:rsidRPr="00DC3217">
        <w:rPr>
          <w:rFonts w:asciiTheme="minorEastAsia" w:eastAsiaTheme="minorEastAsia" w:hAnsiTheme="minorEastAsia" w:cs="Times New Roman" w:hint="eastAsia"/>
          <w:sz w:val="21"/>
          <w:szCs w:val="21"/>
        </w:rPr>
        <w:t>近日，科技部、教育部、人社部、中科院、工程院五部门发布了《关于开展清理“唯论文、唯职称、唯学历、唯奖项”专项行动的通知》（以下简称《通知》）。为深入贯彻习近平总书记在两院院士大会、中央财经委员会第二次会议上重要讲话精神，根据《中共中央办公厅 国务院办公厅关于深化项目评审、人才评价、机构评估改革的若干意见》和《国务院关于优化科研管理提升科研绩效若干措施的通知》要求，五部门决定开展清理“唯论文、唯职称、唯学历、唯奖项”（以下简称“四唯”）专项行动。《通知》明确划定了科技部、教育部、人社部、中科院、工程院、国家自然科学基金委员会、中国科协、行业主管部门和地方相关部门的清理范围。同时，《通知》还明确了清理方向，即对部门和单位政策文件中涉及“四唯”的规定进行修改；对本部门和单位牵头执行的法律和行政法规中涉及“四唯”的规定，提出修改建议。对各类考核评价条件和指标中涉及“四唯”的内容进行调整，具体表现形式包括但不限于评价指标体系、评价手册、评审细则等。对有关管理信息系统和工作表格中涉及“四唯”的内容进行修改。</w:t>
      </w:r>
      <w:r w:rsidRPr="00047F28">
        <w:rPr>
          <w:rFonts w:asciiTheme="minorEastAsia" w:eastAsiaTheme="minorEastAsia" w:hAnsiTheme="minorEastAsia" w:cs="Times New Roman" w:hint="eastAsia"/>
          <w:sz w:val="21"/>
          <w:szCs w:val="21"/>
        </w:rPr>
        <w:t>来源：《</w:t>
      </w:r>
      <w:r w:rsidR="000A09B3">
        <w:rPr>
          <w:rFonts w:asciiTheme="minorEastAsia" w:eastAsiaTheme="minorEastAsia" w:hAnsiTheme="minorEastAsia" w:cs="Times New Roman" w:hint="eastAsia"/>
          <w:sz w:val="21"/>
          <w:szCs w:val="21"/>
        </w:rPr>
        <w:t>中国科学报</w:t>
      </w:r>
      <w:r w:rsidRPr="007947F1">
        <w:rPr>
          <w:rFonts w:ascii="Times New Roman" w:eastAsiaTheme="minorEastAsia" w:hAnsi="Times New Roman" w:cs="Times New Roman"/>
          <w:sz w:val="21"/>
          <w:szCs w:val="21"/>
        </w:rPr>
        <w:t>》（</w:t>
      </w:r>
      <w:r w:rsidRPr="007947F1">
        <w:rPr>
          <w:rFonts w:ascii="Times New Roman" w:eastAsiaTheme="minorEastAsia" w:hAnsi="Times New Roman" w:cs="Times New Roman"/>
          <w:sz w:val="21"/>
          <w:szCs w:val="21"/>
        </w:rPr>
        <w:t>2018</w:t>
      </w:r>
      <w:r w:rsidRPr="007947F1">
        <w:rPr>
          <w:rFonts w:ascii="Times New Roman" w:eastAsiaTheme="minorEastAsia" w:hAnsi="Times New Roman" w:cs="Times New Roman"/>
          <w:sz w:val="21"/>
          <w:szCs w:val="21"/>
        </w:rPr>
        <w:t>年</w:t>
      </w:r>
      <w:r w:rsidR="00563159" w:rsidRPr="007947F1">
        <w:rPr>
          <w:rFonts w:ascii="Times New Roman" w:eastAsiaTheme="minorEastAsia" w:hAnsi="Times New Roman" w:cs="Times New Roman"/>
          <w:sz w:val="21"/>
          <w:szCs w:val="21"/>
        </w:rPr>
        <w:t>10</w:t>
      </w:r>
      <w:r w:rsidRPr="007947F1">
        <w:rPr>
          <w:rFonts w:ascii="Times New Roman" w:eastAsiaTheme="minorEastAsia" w:hAnsi="Times New Roman" w:cs="Times New Roman"/>
          <w:sz w:val="21"/>
          <w:szCs w:val="21"/>
        </w:rPr>
        <w:t>月</w:t>
      </w:r>
      <w:r w:rsidR="00563159" w:rsidRPr="007947F1">
        <w:rPr>
          <w:rFonts w:ascii="Times New Roman" w:eastAsiaTheme="minorEastAsia" w:hAnsi="Times New Roman" w:cs="Times New Roman"/>
          <w:sz w:val="21"/>
          <w:szCs w:val="21"/>
        </w:rPr>
        <w:t>25</w:t>
      </w:r>
      <w:r w:rsidRPr="007947F1">
        <w:rPr>
          <w:rFonts w:ascii="Times New Roman" w:eastAsiaTheme="minorEastAsia" w:hAnsi="Times New Roman" w:cs="Times New Roman"/>
          <w:sz w:val="21"/>
          <w:szCs w:val="21"/>
        </w:rPr>
        <w:t>日）</w:t>
      </w:r>
    </w:p>
    <w:p w:rsidR="00616B7A" w:rsidRPr="007947F1" w:rsidRDefault="003D13B2" w:rsidP="008C5A90">
      <w:pPr>
        <w:spacing w:beforeLines="50" w:before="120" w:afterLines="0" w:line="324" w:lineRule="auto"/>
        <w:rPr>
          <w:rFonts w:ascii="Times New Roman" w:eastAsiaTheme="minorEastAsia" w:hAnsi="Times New Roman" w:cs="Times New Roman"/>
          <w:sz w:val="21"/>
          <w:szCs w:val="21"/>
        </w:rPr>
      </w:pPr>
      <w:r w:rsidRPr="00047F28">
        <w:rPr>
          <w:rFonts w:asciiTheme="minorEastAsia" w:eastAsiaTheme="minorEastAsia" w:hAnsiTheme="minorEastAsia" w:hint="eastAsia"/>
          <w:b/>
          <w:sz w:val="24"/>
          <w:szCs w:val="24"/>
        </w:rPr>
        <w:t>▲</w:t>
      </w:r>
      <w:r w:rsidR="007D732F" w:rsidRPr="007D732F">
        <w:rPr>
          <w:rFonts w:asciiTheme="minorEastAsia" w:eastAsiaTheme="minorEastAsia" w:hAnsiTheme="minorEastAsia" w:hint="eastAsia"/>
          <w:b/>
          <w:sz w:val="24"/>
          <w:szCs w:val="24"/>
        </w:rPr>
        <w:t>我国研发经费投入强度创历史新高</w:t>
      </w:r>
      <w:r w:rsidR="007D732F">
        <w:rPr>
          <w:rFonts w:asciiTheme="minorEastAsia" w:eastAsiaTheme="minorEastAsia" w:hAnsiTheme="minorEastAsia" w:hint="eastAsia"/>
          <w:b/>
          <w:sz w:val="24"/>
          <w:szCs w:val="24"/>
        </w:rPr>
        <w:t xml:space="preserve"> </w:t>
      </w:r>
      <w:r w:rsidR="007D732F" w:rsidRPr="007D732F">
        <w:rPr>
          <w:rFonts w:asciiTheme="minorEastAsia" w:eastAsiaTheme="minorEastAsia" w:hAnsiTheme="minorEastAsia" w:cs="Times New Roman" w:hint="eastAsia"/>
          <w:sz w:val="21"/>
          <w:szCs w:val="21"/>
        </w:rPr>
        <w:t>国家统计局、科学技术部、</w:t>
      </w:r>
      <w:r w:rsidR="007D732F" w:rsidRPr="007947F1">
        <w:rPr>
          <w:rFonts w:ascii="Times New Roman" w:eastAsiaTheme="minorEastAsia" w:hAnsi="Times New Roman" w:cs="Times New Roman"/>
          <w:sz w:val="21"/>
          <w:szCs w:val="21"/>
        </w:rPr>
        <w:t>财政部</w:t>
      </w:r>
      <w:r w:rsidR="007D732F" w:rsidRPr="007947F1">
        <w:rPr>
          <w:rFonts w:ascii="Times New Roman" w:eastAsiaTheme="minorEastAsia" w:hAnsi="Times New Roman" w:cs="Times New Roman"/>
          <w:sz w:val="21"/>
          <w:szCs w:val="21"/>
        </w:rPr>
        <w:t>10</w:t>
      </w:r>
      <w:r w:rsidR="007D732F" w:rsidRPr="007947F1">
        <w:rPr>
          <w:rFonts w:ascii="Times New Roman" w:eastAsiaTheme="minorEastAsia" w:hAnsi="Times New Roman" w:cs="Times New Roman"/>
          <w:sz w:val="21"/>
          <w:szCs w:val="21"/>
        </w:rPr>
        <w:t>月</w:t>
      </w:r>
      <w:r w:rsidR="007D732F" w:rsidRPr="007947F1">
        <w:rPr>
          <w:rFonts w:ascii="Times New Roman" w:eastAsiaTheme="minorEastAsia" w:hAnsi="Times New Roman" w:cs="Times New Roman"/>
          <w:sz w:val="21"/>
          <w:szCs w:val="21"/>
        </w:rPr>
        <w:t>9</w:t>
      </w:r>
      <w:r w:rsidR="007D732F" w:rsidRPr="007947F1">
        <w:rPr>
          <w:rFonts w:ascii="Times New Roman" w:eastAsiaTheme="minorEastAsia" w:hAnsi="Times New Roman" w:cs="Times New Roman"/>
          <w:sz w:val="21"/>
          <w:szCs w:val="21"/>
        </w:rPr>
        <w:t>日联合发布《</w:t>
      </w:r>
      <w:r w:rsidR="007D732F" w:rsidRPr="007947F1">
        <w:rPr>
          <w:rFonts w:ascii="Times New Roman" w:eastAsiaTheme="minorEastAsia" w:hAnsi="Times New Roman" w:cs="Times New Roman"/>
          <w:sz w:val="21"/>
          <w:szCs w:val="21"/>
        </w:rPr>
        <w:t>2017</w:t>
      </w:r>
      <w:r w:rsidR="007D732F" w:rsidRPr="007947F1">
        <w:rPr>
          <w:rFonts w:ascii="Times New Roman" w:eastAsiaTheme="minorEastAsia" w:hAnsi="Times New Roman" w:cs="Times New Roman"/>
          <w:sz w:val="21"/>
          <w:szCs w:val="21"/>
        </w:rPr>
        <w:t>年全国科技经费投入统计公报》。公报显示，</w:t>
      </w:r>
      <w:r w:rsidR="007D732F" w:rsidRPr="007947F1">
        <w:rPr>
          <w:rFonts w:ascii="Times New Roman" w:eastAsiaTheme="minorEastAsia" w:hAnsi="Times New Roman" w:cs="Times New Roman"/>
          <w:sz w:val="21"/>
          <w:szCs w:val="21"/>
        </w:rPr>
        <w:t>2017</w:t>
      </w:r>
      <w:r w:rsidR="007D732F" w:rsidRPr="007947F1">
        <w:rPr>
          <w:rFonts w:ascii="Times New Roman" w:eastAsiaTheme="minorEastAsia" w:hAnsi="Times New Roman" w:cs="Times New Roman"/>
          <w:sz w:val="21"/>
          <w:szCs w:val="21"/>
        </w:rPr>
        <w:t>年，全国共投入研究与试验发展（</w:t>
      </w:r>
      <w:r w:rsidR="007D732F" w:rsidRPr="007947F1">
        <w:rPr>
          <w:rFonts w:ascii="Times New Roman" w:eastAsiaTheme="minorEastAsia" w:hAnsi="Times New Roman" w:cs="Times New Roman"/>
          <w:sz w:val="21"/>
          <w:szCs w:val="21"/>
        </w:rPr>
        <w:t>R&amp;D</w:t>
      </w:r>
      <w:r w:rsidR="007D732F" w:rsidRPr="007947F1">
        <w:rPr>
          <w:rFonts w:ascii="Times New Roman" w:eastAsiaTheme="minorEastAsia" w:hAnsi="Times New Roman" w:cs="Times New Roman"/>
          <w:sz w:val="21"/>
          <w:szCs w:val="21"/>
        </w:rPr>
        <w:t>）经费</w:t>
      </w:r>
      <w:r w:rsidR="007D732F" w:rsidRPr="007947F1">
        <w:rPr>
          <w:rFonts w:ascii="Times New Roman" w:eastAsiaTheme="minorEastAsia" w:hAnsi="Times New Roman" w:cs="Times New Roman"/>
          <w:sz w:val="21"/>
          <w:szCs w:val="21"/>
        </w:rPr>
        <w:t>17606.1</w:t>
      </w:r>
      <w:r w:rsidR="007D732F" w:rsidRPr="007947F1">
        <w:rPr>
          <w:rFonts w:ascii="Times New Roman" w:eastAsiaTheme="minorEastAsia" w:hAnsi="Times New Roman" w:cs="Times New Roman"/>
          <w:sz w:val="21"/>
          <w:szCs w:val="21"/>
        </w:rPr>
        <w:t>亿元，比上年增长</w:t>
      </w:r>
      <w:r w:rsidR="007D732F" w:rsidRPr="007947F1">
        <w:rPr>
          <w:rFonts w:ascii="Times New Roman" w:eastAsiaTheme="minorEastAsia" w:hAnsi="Times New Roman" w:cs="Times New Roman"/>
          <w:sz w:val="21"/>
          <w:szCs w:val="21"/>
        </w:rPr>
        <w:t>12.3%</w:t>
      </w:r>
      <w:r w:rsidR="007D732F" w:rsidRPr="007947F1">
        <w:rPr>
          <w:rFonts w:ascii="Times New Roman" w:eastAsiaTheme="minorEastAsia" w:hAnsi="Times New Roman" w:cs="Times New Roman"/>
          <w:sz w:val="21"/>
          <w:szCs w:val="21"/>
        </w:rPr>
        <w:t>；</w:t>
      </w:r>
      <w:r w:rsidR="007D732F" w:rsidRPr="007947F1">
        <w:rPr>
          <w:rFonts w:ascii="Times New Roman" w:eastAsiaTheme="minorEastAsia" w:hAnsi="Times New Roman" w:cs="Times New Roman"/>
          <w:sz w:val="21"/>
          <w:szCs w:val="21"/>
        </w:rPr>
        <w:t>R&amp;D</w:t>
      </w:r>
      <w:r w:rsidR="007D732F" w:rsidRPr="007947F1">
        <w:rPr>
          <w:rFonts w:ascii="Times New Roman" w:eastAsiaTheme="minorEastAsia" w:hAnsi="Times New Roman" w:cs="Times New Roman"/>
          <w:sz w:val="21"/>
          <w:szCs w:val="21"/>
        </w:rPr>
        <w:t>经费投入强度（与国内生产总值之比）为</w:t>
      </w:r>
      <w:r w:rsidR="007D732F" w:rsidRPr="007947F1">
        <w:rPr>
          <w:rFonts w:ascii="Times New Roman" w:eastAsiaTheme="minorEastAsia" w:hAnsi="Times New Roman" w:cs="Times New Roman"/>
          <w:sz w:val="21"/>
          <w:szCs w:val="21"/>
        </w:rPr>
        <w:t>2.13%</w:t>
      </w:r>
      <w:r w:rsidR="007D732F" w:rsidRPr="007947F1">
        <w:rPr>
          <w:rFonts w:ascii="Times New Roman" w:eastAsiaTheme="minorEastAsia" w:hAnsi="Times New Roman" w:cs="Times New Roman"/>
          <w:sz w:val="21"/>
          <w:szCs w:val="21"/>
        </w:rPr>
        <w:t>，再创历史新高，比上年提高</w:t>
      </w:r>
      <w:r w:rsidR="007D732F" w:rsidRPr="007947F1">
        <w:rPr>
          <w:rFonts w:ascii="Times New Roman" w:eastAsiaTheme="minorEastAsia" w:hAnsi="Times New Roman" w:cs="Times New Roman"/>
          <w:sz w:val="21"/>
          <w:szCs w:val="21"/>
        </w:rPr>
        <w:t>0.02</w:t>
      </w:r>
      <w:r w:rsidR="007D732F" w:rsidRPr="007947F1">
        <w:rPr>
          <w:rFonts w:ascii="Times New Roman" w:eastAsiaTheme="minorEastAsia" w:hAnsi="Times New Roman" w:cs="Times New Roman"/>
          <w:sz w:val="21"/>
          <w:szCs w:val="21"/>
        </w:rPr>
        <w:t>个百分点。国家统计局社科文司高级统计师张鹏介绍，我国</w:t>
      </w:r>
      <w:r w:rsidR="007D732F" w:rsidRPr="007947F1">
        <w:rPr>
          <w:rFonts w:ascii="Times New Roman" w:eastAsiaTheme="minorEastAsia" w:hAnsi="Times New Roman" w:cs="Times New Roman"/>
          <w:sz w:val="21"/>
          <w:szCs w:val="21"/>
        </w:rPr>
        <w:t>R&amp;D</w:t>
      </w:r>
      <w:r w:rsidR="007D732F" w:rsidRPr="007947F1">
        <w:rPr>
          <w:rFonts w:ascii="Times New Roman" w:eastAsiaTheme="minorEastAsia" w:hAnsi="Times New Roman" w:cs="Times New Roman"/>
          <w:sz w:val="21"/>
          <w:szCs w:val="21"/>
        </w:rPr>
        <w:t>经费投入增速保持世界领先，投入强度已达到中等发达国家水平。同时，我国研发投入结构向好，基础研究经费占比进一步提升。公报还显示，</w:t>
      </w:r>
      <w:r w:rsidR="007D732F" w:rsidRPr="007947F1">
        <w:rPr>
          <w:rFonts w:ascii="Times New Roman" w:eastAsiaTheme="minorEastAsia" w:hAnsi="Times New Roman" w:cs="Times New Roman"/>
          <w:sz w:val="21"/>
          <w:szCs w:val="21"/>
        </w:rPr>
        <w:t>2017</w:t>
      </w:r>
      <w:r w:rsidR="007D732F" w:rsidRPr="007947F1">
        <w:rPr>
          <w:rFonts w:ascii="Times New Roman" w:eastAsiaTheme="minorEastAsia" w:hAnsi="Times New Roman" w:cs="Times New Roman"/>
          <w:sz w:val="21"/>
          <w:szCs w:val="21"/>
        </w:rPr>
        <w:t>年国家财政科学技术支出</w:t>
      </w:r>
      <w:r w:rsidR="007D732F" w:rsidRPr="007947F1">
        <w:rPr>
          <w:rFonts w:ascii="Times New Roman" w:eastAsiaTheme="minorEastAsia" w:hAnsi="Times New Roman" w:cs="Times New Roman"/>
          <w:sz w:val="21"/>
          <w:szCs w:val="21"/>
        </w:rPr>
        <w:t>8383.6</w:t>
      </w:r>
      <w:r w:rsidR="007D732F" w:rsidRPr="007947F1">
        <w:rPr>
          <w:rFonts w:ascii="Times New Roman" w:eastAsiaTheme="minorEastAsia" w:hAnsi="Times New Roman" w:cs="Times New Roman"/>
          <w:sz w:val="21"/>
          <w:szCs w:val="21"/>
        </w:rPr>
        <w:t>亿元，比上年增长</w:t>
      </w:r>
      <w:r w:rsidR="007D732F" w:rsidRPr="007947F1">
        <w:rPr>
          <w:rFonts w:ascii="Times New Roman" w:eastAsiaTheme="minorEastAsia" w:hAnsi="Times New Roman" w:cs="Times New Roman"/>
          <w:sz w:val="21"/>
          <w:szCs w:val="21"/>
        </w:rPr>
        <w:t>8%</w:t>
      </w:r>
      <w:r w:rsidR="007D732F" w:rsidRPr="007947F1">
        <w:rPr>
          <w:rFonts w:ascii="Times New Roman" w:eastAsiaTheme="minorEastAsia" w:hAnsi="Times New Roman" w:cs="Times New Roman"/>
          <w:sz w:val="21"/>
          <w:szCs w:val="21"/>
        </w:rPr>
        <w:t>；财政科学技术支出占当年国家财政支出的比重为</w:t>
      </w:r>
      <w:r w:rsidR="007D732F" w:rsidRPr="007947F1">
        <w:rPr>
          <w:rFonts w:ascii="Times New Roman" w:eastAsiaTheme="minorEastAsia" w:hAnsi="Times New Roman" w:cs="Times New Roman"/>
          <w:sz w:val="21"/>
          <w:szCs w:val="21"/>
        </w:rPr>
        <w:t>4.13%</w:t>
      </w:r>
      <w:r w:rsidR="007D732F" w:rsidRPr="007947F1">
        <w:rPr>
          <w:rFonts w:ascii="Times New Roman" w:eastAsiaTheme="minorEastAsia" w:hAnsi="Times New Roman" w:cs="Times New Roman"/>
          <w:sz w:val="21"/>
          <w:szCs w:val="21"/>
        </w:rPr>
        <w:t>，保持了上年水平。</w:t>
      </w:r>
      <w:r w:rsidR="007D732F" w:rsidRPr="007947F1">
        <w:rPr>
          <w:rFonts w:ascii="Times New Roman" w:eastAsiaTheme="minorEastAsia" w:hAnsi="Times New Roman" w:cs="Times New Roman"/>
          <w:sz w:val="21"/>
          <w:szCs w:val="21"/>
        </w:rPr>
        <w:t>“</w:t>
      </w:r>
      <w:r w:rsidR="007D732F" w:rsidRPr="007947F1">
        <w:rPr>
          <w:rFonts w:ascii="Times New Roman" w:eastAsiaTheme="minorEastAsia" w:hAnsi="Times New Roman" w:cs="Times New Roman"/>
          <w:sz w:val="21"/>
          <w:szCs w:val="21"/>
        </w:rPr>
        <w:t>我国研发投入的总量逐年加大，结构不断优化，有力地推动了我国创新驱动发展战略的实施，夯实了我国创新型国家建设的基础。</w:t>
      </w:r>
      <w:r w:rsidR="007D732F" w:rsidRPr="007947F1">
        <w:rPr>
          <w:rFonts w:ascii="Times New Roman" w:eastAsiaTheme="minorEastAsia" w:hAnsi="Times New Roman" w:cs="Times New Roman"/>
          <w:sz w:val="21"/>
          <w:szCs w:val="21"/>
        </w:rPr>
        <w:t>”</w:t>
      </w:r>
      <w:r w:rsidR="007D732F" w:rsidRPr="007947F1">
        <w:rPr>
          <w:rFonts w:ascii="Times New Roman" w:eastAsiaTheme="minorEastAsia" w:hAnsi="Times New Roman" w:cs="Times New Roman"/>
          <w:sz w:val="21"/>
          <w:szCs w:val="21"/>
        </w:rPr>
        <w:t>张鹏说，但与发达国家相比，我国研发整体水平仍然存在大而不强、多而不优的情况，如基础研究占比与发达国家占比水平（</w:t>
      </w:r>
      <w:r w:rsidR="007D732F" w:rsidRPr="007947F1">
        <w:rPr>
          <w:rFonts w:ascii="Times New Roman" w:eastAsiaTheme="minorEastAsia" w:hAnsi="Times New Roman" w:cs="Times New Roman"/>
          <w:sz w:val="21"/>
          <w:szCs w:val="21"/>
        </w:rPr>
        <w:t>15%</w:t>
      </w:r>
      <w:r w:rsidR="007D732F" w:rsidRPr="007947F1">
        <w:rPr>
          <w:rFonts w:ascii="Times New Roman" w:eastAsiaTheme="minorEastAsia" w:hAnsi="Times New Roman" w:cs="Times New Roman"/>
          <w:sz w:val="21"/>
          <w:szCs w:val="21"/>
        </w:rPr>
        <w:t>至</w:t>
      </w:r>
      <w:r w:rsidR="007D732F" w:rsidRPr="007947F1">
        <w:rPr>
          <w:rFonts w:ascii="Times New Roman" w:eastAsiaTheme="minorEastAsia" w:hAnsi="Times New Roman" w:cs="Times New Roman"/>
          <w:sz w:val="21"/>
          <w:szCs w:val="21"/>
        </w:rPr>
        <w:t>20%</w:t>
      </w:r>
      <w:r w:rsidR="007D732F" w:rsidRPr="007947F1">
        <w:rPr>
          <w:rFonts w:ascii="Times New Roman" w:eastAsiaTheme="minorEastAsia" w:hAnsi="Times New Roman" w:cs="Times New Roman"/>
          <w:sz w:val="21"/>
          <w:szCs w:val="21"/>
        </w:rPr>
        <w:t>）相比有较大差距，研发投入强度与创新型国家（</w:t>
      </w:r>
      <w:r w:rsidR="007D732F" w:rsidRPr="007947F1">
        <w:rPr>
          <w:rFonts w:ascii="Times New Roman" w:eastAsiaTheme="minorEastAsia" w:hAnsi="Times New Roman" w:cs="Times New Roman"/>
          <w:sz w:val="21"/>
          <w:szCs w:val="21"/>
        </w:rPr>
        <w:t>2.5%</w:t>
      </w:r>
      <w:r w:rsidR="007D732F" w:rsidRPr="007947F1">
        <w:rPr>
          <w:rFonts w:ascii="Times New Roman" w:eastAsiaTheme="minorEastAsia" w:hAnsi="Times New Roman" w:cs="Times New Roman"/>
          <w:sz w:val="21"/>
          <w:szCs w:val="21"/>
        </w:rPr>
        <w:t>以上）相比还有一定差距。张鹏认为，未来几年，我国应进一步引导全社会加大对研发的投入力度，尤其是前瞻性和应用性基础研究领域；进一步优化我国研发资源配置，突出以企业为主体、市场为导向、产学研深度融合；进一步发挥政府对研发的管理优势，加强国家创新体系建设，深化科技体制改革。</w:t>
      </w:r>
      <w:r w:rsidRPr="007947F1">
        <w:rPr>
          <w:rFonts w:ascii="Times New Roman" w:eastAsiaTheme="minorEastAsia" w:hAnsi="Times New Roman" w:cs="Times New Roman"/>
          <w:sz w:val="21"/>
          <w:szCs w:val="21"/>
        </w:rPr>
        <w:t>来源：《中国</w:t>
      </w:r>
      <w:r w:rsidR="00977A7D" w:rsidRPr="007947F1">
        <w:rPr>
          <w:rFonts w:ascii="Times New Roman" w:eastAsiaTheme="minorEastAsia" w:hAnsi="Times New Roman" w:cs="Times New Roman"/>
          <w:sz w:val="21"/>
          <w:szCs w:val="21"/>
        </w:rPr>
        <w:t>科学</w:t>
      </w:r>
      <w:r w:rsidRPr="007947F1">
        <w:rPr>
          <w:rFonts w:ascii="Times New Roman" w:eastAsiaTheme="minorEastAsia" w:hAnsi="Times New Roman" w:cs="Times New Roman"/>
          <w:sz w:val="21"/>
          <w:szCs w:val="21"/>
        </w:rPr>
        <w:t>报》（</w:t>
      </w:r>
      <w:r w:rsidRPr="007947F1">
        <w:rPr>
          <w:rFonts w:ascii="Times New Roman" w:eastAsiaTheme="minorEastAsia" w:hAnsi="Times New Roman" w:cs="Times New Roman"/>
          <w:sz w:val="21"/>
          <w:szCs w:val="21"/>
        </w:rPr>
        <w:t>2018</w:t>
      </w:r>
      <w:r w:rsidRPr="007947F1">
        <w:rPr>
          <w:rFonts w:ascii="Times New Roman" w:eastAsiaTheme="minorEastAsia" w:hAnsi="Times New Roman" w:cs="Times New Roman"/>
          <w:sz w:val="21"/>
          <w:szCs w:val="21"/>
        </w:rPr>
        <w:t>年</w:t>
      </w:r>
      <w:r w:rsidR="007D732F" w:rsidRPr="007947F1">
        <w:rPr>
          <w:rFonts w:ascii="Times New Roman" w:eastAsiaTheme="minorEastAsia" w:hAnsi="Times New Roman" w:cs="Times New Roman"/>
          <w:sz w:val="21"/>
          <w:szCs w:val="21"/>
        </w:rPr>
        <w:t>10</w:t>
      </w:r>
      <w:r w:rsidRPr="007947F1">
        <w:rPr>
          <w:rFonts w:ascii="Times New Roman" w:eastAsiaTheme="minorEastAsia" w:hAnsi="Times New Roman" w:cs="Times New Roman"/>
          <w:sz w:val="21"/>
          <w:szCs w:val="21"/>
        </w:rPr>
        <w:t>月</w:t>
      </w:r>
      <w:r w:rsidR="00924B89" w:rsidRPr="007947F1">
        <w:rPr>
          <w:rFonts w:ascii="Times New Roman" w:eastAsiaTheme="minorEastAsia" w:hAnsi="Times New Roman" w:cs="Times New Roman"/>
          <w:sz w:val="21"/>
          <w:szCs w:val="21"/>
        </w:rPr>
        <w:t>1</w:t>
      </w:r>
      <w:r w:rsidR="007D732F" w:rsidRPr="007947F1">
        <w:rPr>
          <w:rFonts w:ascii="Times New Roman" w:eastAsiaTheme="minorEastAsia" w:hAnsi="Times New Roman" w:cs="Times New Roman"/>
          <w:sz w:val="21"/>
          <w:szCs w:val="21"/>
        </w:rPr>
        <w:t>0</w:t>
      </w:r>
      <w:r w:rsidRPr="007947F1">
        <w:rPr>
          <w:rFonts w:ascii="Times New Roman" w:eastAsiaTheme="minorEastAsia" w:hAnsi="Times New Roman" w:cs="Times New Roman"/>
          <w:sz w:val="21"/>
          <w:szCs w:val="21"/>
        </w:rPr>
        <w:t>日）</w:t>
      </w:r>
    </w:p>
    <w:p w:rsidR="00616B7A" w:rsidRPr="000E259C" w:rsidRDefault="00616B7A" w:rsidP="008C5A90">
      <w:pPr>
        <w:spacing w:beforeLines="50" w:before="120" w:afterLines="0" w:line="324" w:lineRule="auto"/>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616B7A">
        <w:rPr>
          <w:rFonts w:asciiTheme="minorEastAsia" w:eastAsiaTheme="minorEastAsia" w:hAnsiTheme="minorEastAsia" w:hint="eastAsia"/>
          <w:b/>
          <w:sz w:val="24"/>
          <w:szCs w:val="24"/>
        </w:rPr>
        <w:t>2019年内地109所高校将免试招收香港学生</w:t>
      </w:r>
      <w:r w:rsidRPr="00DC3217">
        <w:rPr>
          <w:rFonts w:asciiTheme="minorEastAsia" w:eastAsiaTheme="minorEastAsia" w:hAnsiTheme="minorEastAsia" w:cs="Times New Roman" w:hint="eastAsia"/>
          <w:sz w:val="21"/>
          <w:szCs w:val="21"/>
        </w:rPr>
        <w:t xml:space="preserve"> 近日，香港特区政府教育局表示，欢迎教育部公布</w:t>
      </w:r>
      <w:r w:rsidRPr="000E259C">
        <w:rPr>
          <w:rFonts w:ascii="Times New Roman" w:eastAsiaTheme="minorEastAsia" w:hAnsi="Times New Roman" w:cs="Times New Roman" w:hint="eastAsia"/>
          <w:sz w:val="21"/>
          <w:szCs w:val="21"/>
        </w:rPr>
        <w:t>2019</w:t>
      </w:r>
      <w:r w:rsidRPr="00DC3217">
        <w:rPr>
          <w:rFonts w:asciiTheme="minorEastAsia" w:eastAsiaTheme="minorEastAsia" w:hAnsiTheme="minorEastAsia" w:cs="Times New Roman" w:hint="eastAsia"/>
          <w:sz w:val="21"/>
          <w:szCs w:val="21"/>
        </w:rPr>
        <w:t>年内地部分高校免试招收香港学生计划的具体安排。根据安排，参与计划的内地高等院校将增加至</w:t>
      </w:r>
      <w:r w:rsidRPr="000E259C">
        <w:rPr>
          <w:rFonts w:ascii="Times New Roman" w:eastAsiaTheme="minorEastAsia" w:hAnsi="Times New Roman" w:cs="Times New Roman" w:hint="eastAsia"/>
          <w:sz w:val="21"/>
          <w:szCs w:val="21"/>
        </w:rPr>
        <w:t>109</w:t>
      </w:r>
      <w:r w:rsidRPr="000E259C">
        <w:rPr>
          <w:rFonts w:ascii="Times New Roman" w:eastAsiaTheme="minorEastAsia" w:hAnsi="Times New Roman" w:cs="Times New Roman" w:hint="eastAsia"/>
          <w:sz w:val="21"/>
          <w:szCs w:val="21"/>
        </w:rPr>
        <w:t>所。</w:t>
      </w:r>
      <w:r w:rsidRPr="00DC3217">
        <w:rPr>
          <w:rFonts w:asciiTheme="minorEastAsia" w:eastAsiaTheme="minorEastAsia" w:hAnsiTheme="minorEastAsia" w:cs="Times New Roman" w:hint="eastAsia"/>
          <w:sz w:val="21"/>
          <w:szCs w:val="21"/>
        </w:rPr>
        <w:t>特区政府教育局发言人表示，</w:t>
      </w:r>
      <w:r w:rsidRPr="000E259C">
        <w:rPr>
          <w:rFonts w:ascii="Times New Roman" w:eastAsiaTheme="minorEastAsia" w:hAnsi="Times New Roman" w:cs="Times New Roman" w:hint="eastAsia"/>
          <w:sz w:val="21"/>
          <w:szCs w:val="21"/>
        </w:rPr>
        <w:t>2019</w:t>
      </w:r>
      <w:r w:rsidRPr="000E259C">
        <w:rPr>
          <w:rFonts w:ascii="Times New Roman" w:eastAsiaTheme="minorEastAsia" w:hAnsi="Times New Roman" w:cs="Times New Roman" w:hint="eastAsia"/>
          <w:sz w:val="21"/>
          <w:szCs w:val="21"/>
        </w:rPr>
        <w:t>年</w:t>
      </w:r>
      <w:r w:rsidRPr="00DC3217">
        <w:rPr>
          <w:rFonts w:asciiTheme="minorEastAsia" w:eastAsiaTheme="minorEastAsia" w:hAnsiTheme="minorEastAsia" w:cs="Times New Roman" w:hint="eastAsia"/>
          <w:sz w:val="21"/>
          <w:szCs w:val="21"/>
        </w:rPr>
        <w:t>参与免试招生计划的内地高校数目比</w:t>
      </w:r>
      <w:r w:rsidRPr="000E259C">
        <w:rPr>
          <w:rFonts w:ascii="Times New Roman" w:eastAsiaTheme="minorEastAsia" w:hAnsi="Times New Roman" w:cs="Times New Roman" w:hint="eastAsia"/>
          <w:sz w:val="21"/>
          <w:szCs w:val="21"/>
        </w:rPr>
        <w:t>2018</w:t>
      </w:r>
      <w:r w:rsidRPr="00DC3217">
        <w:rPr>
          <w:rFonts w:asciiTheme="minorEastAsia" w:eastAsiaTheme="minorEastAsia" w:hAnsiTheme="minorEastAsia" w:cs="Times New Roman" w:hint="eastAsia"/>
          <w:sz w:val="21"/>
          <w:szCs w:val="21"/>
        </w:rPr>
        <w:lastRenderedPageBreak/>
        <w:t>年增加</w:t>
      </w:r>
      <w:r w:rsidRPr="000E259C">
        <w:rPr>
          <w:rFonts w:ascii="Times New Roman" w:eastAsiaTheme="minorEastAsia" w:hAnsi="Times New Roman" w:cs="Times New Roman"/>
          <w:sz w:val="21"/>
          <w:szCs w:val="21"/>
        </w:rPr>
        <w:t>了</w:t>
      </w:r>
      <w:r w:rsidRPr="000E259C">
        <w:rPr>
          <w:rFonts w:ascii="Times New Roman" w:eastAsiaTheme="minorEastAsia" w:hAnsi="Times New Roman" w:cs="Times New Roman"/>
          <w:sz w:val="21"/>
          <w:szCs w:val="21"/>
        </w:rPr>
        <w:t>7</w:t>
      </w:r>
      <w:r w:rsidRPr="000E259C">
        <w:rPr>
          <w:rFonts w:ascii="Times New Roman" w:eastAsiaTheme="minorEastAsia" w:hAnsi="Times New Roman" w:cs="Times New Roman"/>
          <w:sz w:val="21"/>
          <w:szCs w:val="21"/>
        </w:rPr>
        <w:t>所</w:t>
      </w:r>
      <w:r w:rsidRPr="00DC3217">
        <w:rPr>
          <w:rFonts w:asciiTheme="minorEastAsia" w:eastAsiaTheme="minorEastAsia" w:hAnsiTheme="minorEastAsia" w:cs="Times New Roman" w:hint="eastAsia"/>
          <w:sz w:val="21"/>
          <w:szCs w:val="21"/>
        </w:rPr>
        <w:t>，新增的高校包括中央音乐学院、中央戏剧学院、中央美术学院、湖北大学、广东海洋大学、长安大学和兰州大学。另外，免试招生计划中“校长推荐计划”的考生推荐名额，每家香港中</w:t>
      </w:r>
      <w:r w:rsidRPr="000E259C">
        <w:rPr>
          <w:rFonts w:ascii="Times New Roman" w:eastAsiaTheme="minorEastAsia" w:hAnsi="Times New Roman" w:cs="Times New Roman"/>
          <w:sz w:val="21"/>
          <w:szCs w:val="21"/>
        </w:rPr>
        <w:t>学由</w:t>
      </w:r>
      <w:r w:rsidRPr="000E259C">
        <w:rPr>
          <w:rFonts w:ascii="Times New Roman" w:eastAsiaTheme="minorEastAsia" w:hAnsi="Times New Roman" w:cs="Times New Roman"/>
          <w:sz w:val="21"/>
          <w:szCs w:val="21"/>
        </w:rPr>
        <w:t>6</w:t>
      </w:r>
      <w:r w:rsidRPr="000E259C">
        <w:rPr>
          <w:rFonts w:ascii="Times New Roman" w:eastAsiaTheme="minorEastAsia" w:hAnsi="Times New Roman" w:cs="Times New Roman"/>
          <w:sz w:val="21"/>
          <w:szCs w:val="21"/>
        </w:rPr>
        <w:t>个名额增加至</w:t>
      </w:r>
      <w:r w:rsidRPr="000E259C">
        <w:rPr>
          <w:rFonts w:ascii="Times New Roman" w:eastAsiaTheme="minorEastAsia" w:hAnsi="Times New Roman" w:cs="Times New Roman"/>
          <w:sz w:val="21"/>
          <w:szCs w:val="21"/>
        </w:rPr>
        <w:t>8</w:t>
      </w:r>
      <w:r w:rsidRPr="00DC3217">
        <w:rPr>
          <w:rFonts w:asciiTheme="minorEastAsia" w:eastAsiaTheme="minorEastAsia" w:hAnsiTheme="minorEastAsia" w:cs="Times New Roman" w:hint="eastAsia"/>
          <w:sz w:val="21"/>
          <w:szCs w:val="21"/>
        </w:rPr>
        <w:t>个。而“校长推荐计划”的最低录取标准维持不变，学生在香港中学文凭考试中，4个核心科目（即中国语文科、英国语文科、数学科和通识教育科）的分数总和须为</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分或以上，且每个科目的分数不得低于</w:t>
      </w:r>
      <w:r w:rsidRPr="000E259C">
        <w:rPr>
          <w:rFonts w:ascii="Times New Roman" w:eastAsiaTheme="minorEastAsia" w:hAnsi="Times New Roman" w:cs="Times New Roman"/>
          <w:sz w:val="21"/>
          <w:szCs w:val="21"/>
        </w:rPr>
        <w:t>2</w:t>
      </w:r>
      <w:r w:rsidRPr="000E259C">
        <w:rPr>
          <w:rFonts w:ascii="Times New Roman" w:eastAsiaTheme="minorEastAsia" w:hAnsi="Times New Roman" w:cs="Times New Roman"/>
          <w:sz w:val="21"/>
          <w:szCs w:val="21"/>
        </w:rPr>
        <w:t>分。免试招生计划将一如既往地依据香港中学文凭考试成绩择优录取香港学生，他们无须额外应考内地联招试。香港学生可于</w:t>
      </w:r>
      <w:r w:rsidRPr="000E259C">
        <w:rPr>
          <w:rFonts w:ascii="Times New Roman" w:eastAsiaTheme="minorEastAsia" w:hAnsi="Times New Roman" w:cs="Times New Roman"/>
          <w:sz w:val="21"/>
          <w:szCs w:val="21"/>
        </w:rPr>
        <w:t>2019</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sz w:val="21"/>
          <w:szCs w:val="21"/>
        </w:rPr>
        <w:t>3</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日至</w:t>
      </w:r>
      <w:r w:rsidRPr="000E259C">
        <w:rPr>
          <w:rFonts w:ascii="Times New Roman" w:eastAsiaTheme="minorEastAsia" w:hAnsi="Times New Roman" w:cs="Times New Roman"/>
          <w:sz w:val="21"/>
          <w:szCs w:val="21"/>
        </w:rPr>
        <w:t>20</w:t>
      </w:r>
      <w:r w:rsidRPr="000E259C">
        <w:rPr>
          <w:rFonts w:ascii="Times New Roman" w:eastAsiaTheme="minorEastAsia" w:hAnsi="Times New Roman" w:cs="Times New Roman"/>
          <w:sz w:val="21"/>
          <w:szCs w:val="21"/>
        </w:rPr>
        <w:t>日在网上预先报名。各院校可根据考生报考资料安排面试，并将于明年</w:t>
      </w:r>
      <w:r w:rsidRPr="000E259C">
        <w:rPr>
          <w:rFonts w:ascii="Times New Roman" w:eastAsiaTheme="minorEastAsia" w:hAnsi="Times New Roman" w:cs="Times New Roman"/>
          <w:sz w:val="21"/>
          <w:szCs w:val="21"/>
        </w:rPr>
        <w:t>7</w:t>
      </w:r>
      <w:r w:rsidRPr="000E259C">
        <w:rPr>
          <w:rFonts w:ascii="Times New Roman" w:eastAsiaTheme="minorEastAsia" w:hAnsi="Times New Roman" w:cs="Times New Roman"/>
          <w:sz w:val="21"/>
          <w:szCs w:val="21"/>
        </w:rPr>
        <w:t>月底</w:t>
      </w:r>
      <w:r w:rsidRPr="00DC3217">
        <w:rPr>
          <w:rFonts w:asciiTheme="minorEastAsia" w:eastAsiaTheme="minorEastAsia" w:hAnsiTheme="minorEastAsia" w:cs="Times New Roman" w:hint="eastAsia"/>
          <w:sz w:val="21"/>
          <w:szCs w:val="21"/>
        </w:rPr>
        <w:t>公布录取名单。为了让学生和家长更加了解免试招生计划的具体安排，特区政府教育局与国家教育部将于12月1日至2日合办“</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内地高等教育</w:t>
      </w:r>
      <w:r w:rsidRPr="00DC3217">
        <w:rPr>
          <w:rFonts w:asciiTheme="minorEastAsia" w:eastAsiaTheme="minorEastAsia" w:hAnsiTheme="minorEastAsia" w:cs="Times New Roman" w:hint="eastAsia"/>
          <w:sz w:val="21"/>
          <w:szCs w:val="21"/>
        </w:rPr>
        <w:t>展”。1</w:t>
      </w:r>
      <w:r w:rsidRPr="000E259C">
        <w:rPr>
          <w:rFonts w:ascii="Times New Roman" w:eastAsiaTheme="minorEastAsia" w:hAnsi="Times New Roman" w:cs="Times New Roman"/>
          <w:sz w:val="21"/>
          <w:szCs w:val="21"/>
        </w:rPr>
        <w:t>09</w:t>
      </w:r>
      <w:r w:rsidRPr="000E259C">
        <w:rPr>
          <w:rFonts w:ascii="Times New Roman" w:eastAsiaTheme="minorEastAsia" w:hAnsi="Times New Roman" w:cs="Times New Roman"/>
          <w:sz w:val="21"/>
          <w:szCs w:val="21"/>
        </w:rPr>
        <w:t>所参加</w:t>
      </w:r>
      <w:r w:rsidRPr="000E259C">
        <w:rPr>
          <w:rFonts w:ascii="Times New Roman" w:eastAsiaTheme="minorEastAsia" w:hAnsi="Times New Roman" w:cs="Times New Roman"/>
          <w:sz w:val="21"/>
          <w:szCs w:val="21"/>
        </w:rPr>
        <w:t>2019</w:t>
      </w:r>
      <w:r w:rsidRPr="000E259C">
        <w:rPr>
          <w:rFonts w:ascii="Times New Roman" w:eastAsiaTheme="minorEastAsia" w:hAnsi="Times New Roman" w:cs="Times New Roman"/>
          <w:sz w:val="21"/>
          <w:szCs w:val="21"/>
        </w:rPr>
        <w:t>年免试招生计划的内地高校也会参展，介绍其院校及相关资讯。免试招生计划在</w:t>
      </w:r>
      <w:r w:rsidRPr="000E259C">
        <w:rPr>
          <w:rFonts w:ascii="Times New Roman" w:eastAsiaTheme="minorEastAsia" w:hAnsi="Times New Roman" w:cs="Times New Roman"/>
          <w:sz w:val="21"/>
          <w:szCs w:val="21"/>
        </w:rPr>
        <w:t>2012</w:t>
      </w:r>
      <w:r w:rsidRPr="000E259C">
        <w:rPr>
          <w:rFonts w:ascii="Times New Roman" w:eastAsiaTheme="minorEastAsia" w:hAnsi="Times New Roman" w:cs="Times New Roman"/>
          <w:sz w:val="21"/>
          <w:szCs w:val="21"/>
        </w:rPr>
        <w:t>年开始推行，去年通过免试招生计划获内地高校录取的香港学生共有</w:t>
      </w:r>
      <w:r w:rsidRPr="000E259C">
        <w:rPr>
          <w:rFonts w:ascii="Times New Roman" w:eastAsiaTheme="minorEastAsia" w:hAnsi="Times New Roman" w:cs="Times New Roman"/>
          <w:sz w:val="21"/>
          <w:szCs w:val="21"/>
        </w:rPr>
        <w:t>1295</w:t>
      </w:r>
      <w:r w:rsidRPr="000E259C">
        <w:rPr>
          <w:rFonts w:ascii="Times New Roman" w:eastAsiaTheme="minorEastAsia" w:hAnsi="Times New Roman" w:cs="Times New Roman"/>
          <w:sz w:val="21"/>
          <w:szCs w:val="21"/>
        </w:rPr>
        <w:t>人，分布在</w:t>
      </w:r>
      <w:r w:rsidRPr="000E259C">
        <w:rPr>
          <w:rFonts w:ascii="Times New Roman" w:eastAsiaTheme="minorEastAsia" w:hAnsi="Times New Roman" w:cs="Times New Roman"/>
          <w:sz w:val="21"/>
          <w:szCs w:val="21"/>
        </w:rPr>
        <w:t>150</w:t>
      </w:r>
      <w:r w:rsidRPr="000E259C">
        <w:rPr>
          <w:rFonts w:ascii="Times New Roman" w:eastAsiaTheme="minorEastAsia" w:hAnsi="Times New Roman" w:cs="Times New Roman"/>
          <w:sz w:val="21"/>
          <w:szCs w:val="21"/>
        </w:rPr>
        <w:t>个不同的专业。来源：《新华社》（</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sz w:val="21"/>
          <w:szCs w:val="21"/>
        </w:rPr>
        <w:t>8</w:t>
      </w:r>
      <w:r w:rsidRPr="000E259C">
        <w:rPr>
          <w:rFonts w:ascii="Times New Roman" w:eastAsiaTheme="minorEastAsia" w:hAnsi="Times New Roman" w:cs="Times New Roman"/>
          <w:sz w:val="21"/>
          <w:szCs w:val="21"/>
        </w:rPr>
        <w:t>日）</w:t>
      </w:r>
    </w:p>
    <w:p w:rsidR="00616B7A" w:rsidRPr="000E259C" w:rsidRDefault="00616B7A" w:rsidP="008C5A90">
      <w:pPr>
        <w:spacing w:beforeLines="50" w:before="120" w:afterLines="0" w:line="324" w:lineRule="auto"/>
        <w:rPr>
          <w:rFonts w:ascii="Times New Roman" w:eastAsiaTheme="minorEastAsia" w:hAnsi="Times New Roman" w:cs="Times New Roman"/>
          <w:sz w:val="21"/>
          <w:szCs w:val="21"/>
        </w:rPr>
      </w:pPr>
      <w:r w:rsidRPr="00616B7A">
        <w:rPr>
          <w:rFonts w:asciiTheme="minorEastAsia" w:eastAsiaTheme="minorEastAsia" w:hAnsiTheme="minorEastAsia" w:hint="eastAsia"/>
          <w:b/>
          <w:sz w:val="24"/>
          <w:szCs w:val="24"/>
        </w:rPr>
        <w:t>▲中欧高等教育质量对标与学分互认国际研讨会在京举行</w:t>
      </w:r>
      <w:r>
        <w:rPr>
          <w:rFonts w:asciiTheme="minorEastAsia" w:eastAsiaTheme="minorEastAsia" w:hAnsiTheme="minorEastAsia" w:hint="eastAsia"/>
          <w:b/>
          <w:bCs/>
        </w:rPr>
        <w:t xml:space="preserve"> </w:t>
      </w:r>
      <w:r w:rsidRPr="00616B7A">
        <w:rPr>
          <w:rFonts w:asciiTheme="minorEastAsia" w:eastAsiaTheme="minorEastAsia" w:hAnsiTheme="minorEastAsia" w:cs="Times New Roman" w:hint="eastAsia"/>
          <w:sz w:val="21"/>
          <w:szCs w:val="21"/>
        </w:rPr>
        <w:t>近日，由教育部教育发展研究中心举办的中欧高等教育质量对标与学分互认国际研讨会在京举行。来自瑞典、荷兰等国的高校学者和国内高校、教育科研部门、部分省市教育行政部门代表</w:t>
      </w:r>
      <w:r w:rsidRPr="000E259C">
        <w:rPr>
          <w:rFonts w:ascii="Times New Roman" w:eastAsiaTheme="minorEastAsia" w:hAnsi="Times New Roman" w:cs="Times New Roman"/>
          <w:sz w:val="21"/>
          <w:szCs w:val="21"/>
        </w:rPr>
        <w:t>近</w:t>
      </w:r>
      <w:r w:rsidRPr="000E259C">
        <w:rPr>
          <w:rFonts w:ascii="Times New Roman" w:eastAsiaTheme="minorEastAsia" w:hAnsi="Times New Roman" w:cs="Times New Roman"/>
          <w:sz w:val="21"/>
          <w:szCs w:val="21"/>
        </w:rPr>
        <w:t>200</w:t>
      </w:r>
      <w:r w:rsidRPr="000E259C">
        <w:rPr>
          <w:rFonts w:ascii="Times New Roman" w:eastAsiaTheme="minorEastAsia" w:hAnsi="Times New Roman" w:cs="Times New Roman"/>
          <w:sz w:val="21"/>
          <w:szCs w:val="21"/>
        </w:rPr>
        <w:t>人，围绕以学生为中心、能力为导向的高等教育教学改革、高等教育质量保障机制、中欧高等教育学分互认途径等议题展开探讨。中欧高等教育对标联合研究项目是教育部与欧盟委员会教育与文化总司共同资助、于</w:t>
      </w:r>
      <w:r w:rsidRPr="000E259C">
        <w:rPr>
          <w:rFonts w:ascii="Times New Roman" w:eastAsiaTheme="minorEastAsia" w:hAnsi="Times New Roman" w:cs="Times New Roman"/>
          <w:sz w:val="21"/>
          <w:szCs w:val="21"/>
        </w:rPr>
        <w:t>2012</w:t>
      </w:r>
      <w:r w:rsidRPr="000E259C">
        <w:rPr>
          <w:rFonts w:ascii="Times New Roman" w:eastAsiaTheme="minorEastAsia" w:hAnsi="Times New Roman" w:cs="Times New Roman"/>
          <w:sz w:val="21"/>
          <w:szCs w:val="21"/>
        </w:rPr>
        <w:t>年</w:t>
      </w:r>
      <w:r w:rsidRPr="00616B7A">
        <w:rPr>
          <w:rFonts w:asciiTheme="minorEastAsia" w:eastAsiaTheme="minorEastAsia" w:hAnsiTheme="minorEastAsia" w:cs="Times New Roman" w:hint="eastAsia"/>
          <w:sz w:val="21"/>
          <w:szCs w:val="21"/>
        </w:rPr>
        <w:t>在“中欧高级别人文交流对话机制框架”下启动的合作研究项目，旨在促进中欧高等教育标准互通及学生学者交流。迄今为止，项目研究已进行了两期试点，共有比较教</w:t>
      </w:r>
      <w:r w:rsidRPr="000E259C">
        <w:rPr>
          <w:rFonts w:ascii="Times New Roman" w:eastAsiaTheme="minorEastAsia" w:hAnsi="Times New Roman" w:cs="Times New Roman"/>
          <w:sz w:val="21"/>
          <w:szCs w:val="21"/>
        </w:rPr>
        <w:t>育、土木工程、工商管理、物流、护理、信息工程</w:t>
      </w:r>
      <w:r w:rsidRPr="000E259C">
        <w:rPr>
          <w:rFonts w:ascii="Times New Roman" w:eastAsiaTheme="minorEastAsia" w:hAnsi="Times New Roman" w:cs="Times New Roman"/>
          <w:sz w:val="21"/>
          <w:szCs w:val="21"/>
        </w:rPr>
        <w:t>6</w:t>
      </w:r>
      <w:r w:rsidRPr="000E259C">
        <w:rPr>
          <w:rFonts w:ascii="Times New Roman" w:eastAsiaTheme="minorEastAsia" w:hAnsi="Times New Roman" w:cs="Times New Roman"/>
          <w:sz w:val="21"/>
          <w:szCs w:val="21"/>
        </w:rPr>
        <w:t>个学科专业、</w:t>
      </w:r>
      <w:r w:rsidRPr="000E259C">
        <w:rPr>
          <w:rFonts w:ascii="Times New Roman" w:eastAsiaTheme="minorEastAsia" w:hAnsi="Times New Roman" w:cs="Times New Roman"/>
          <w:sz w:val="21"/>
          <w:szCs w:val="21"/>
        </w:rPr>
        <w:t>50</w:t>
      </w:r>
      <w:r w:rsidRPr="000E259C">
        <w:rPr>
          <w:rFonts w:ascii="Times New Roman" w:eastAsiaTheme="minorEastAsia" w:hAnsi="Times New Roman" w:cs="Times New Roman"/>
          <w:sz w:val="21"/>
          <w:szCs w:val="21"/>
        </w:rPr>
        <w:t>余所国内院校参与其中。来源：《中国教育报》（</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sz w:val="21"/>
          <w:szCs w:val="21"/>
        </w:rPr>
        <w:t>19</w:t>
      </w:r>
      <w:r w:rsidRPr="000E259C">
        <w:rPr>
          <w:rFonts w:ascii="Times New Roman" w:eastAsiaTheme="minorEastAsia" w:hAnsi="Times New Roman" w:cs="Times New Roman"/>
          <w:sz w:val="21"/>
          <w:szCs w:val="21"/>
        </w:rPr>
        <w:t>日）</w:t>
      </w:r>
    </w:p>
    <w:p w:rsidR="005023C4" w:rsidRPr="000E259C" w:rsidRDefault="005023C4" w:rsidP="008C5A90">
      <w:pPr>
        <w:spacing w:beforeLines="50" w:before="120" w:afterLines="0" w:line="324" w:lineRule="auto"/>
        <w:rPr>
          <w:rFonts w:ascii="Times New Roman" w:eastAsiaTheme="minorEastAsia" w:hAnsi="Times New Roman" w:cs="Times New Roman"/>
          <w:sz w:val="21"/>
          <w:szCs w:val="21"/>
        </w:rPr>
      </w:pPr>
      <w:r w:rsidRPr="005023C4">
        <w:rPr>
          <w:rFonts w:asciiTheme="minorEastAsia" w:eastAsiaTheme="minorEastAsia" w:hAnsiTheme="minorEastAsia" w:cs="宋体" w:hint="eastAsia"/>
          <w:b/>
          <w:bCs/>
          <w:sz w:val="24"/>
          <w:szCs w:val="24"/>
        </w:rPr>
        <w:t>▲</w:t>
      </w:r>
      <w:r w:rsidRPr="000E259C">
        <w:rPr>
          <w:rFonts w:ascii="Times New Roman" w:eastAsiaTheme="minorEastAsia" w:hAnsi="Times New Roman" w:cs="Times New Roman"/>
          <w:b/>
          <w:bCs/>
          <w:sz w:val="24"/>
          <w:szCs w:val="24"/>
        </w:rPr>
        <w:t>QS</w:t>
      </w:r>
      <w:r w:rsidRPr="005023C4">
        <w:rPr>
          <w:rFonts w:asciiTheme="minorEastAsia" w:eastAsiaTheme="minorEastAsia" w:hAnsiTheme="minorEastAsia" w:cs="宋体" w:hint="eastAsia"/>
          <w:b/>
          <w:bCs/>
          <w:sz w:val="24"/>
          <w:szCs w:val="24"/>
        </w:rPr>
        <w:t>发布首个中国大陆排名</w:t>
      </w:r>
      <w:r>
        <w:rPr>
          <w:rFonts w:asciiTheme="minorEastAsia" w:eastAsiaTheme="minorEastAsia" w:hAnsiTheme="minorEastAsia" w:cs="宋体" w:hint="eastAsia"/>
          <w:b/>
          <w:bCs/>
          <w:sz w:val="24"/>
          <w:szCs w:val="24"/>
        </w:rPr>
        <w:t xml:space="preserve"> </w:t>
      </w:r>
      <w:r w:rsidRPr="00DC3217">
        <w:rPr>
          <w:rFonts w:asciiTheme="minorEastAsia" w:eastAsiaTheme="minorEastAsia" w:hAnsiTheme="minorEastAsia" w:cs="Times New Roman" w:hint="eastAsia"/>
          <w:sz w:val="21"/>
          <w:szCs w:val="21"/>
        </w:rPr>
        <w:t>近日</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 xml:space="preserve">QS </w:t>
      </w:r>
      <w:r w:rsidR="006665B1" w:rsidRPr="000E259C">
        <w:rPr>
          <w:rFonts w:ascii="Times New Roman" w:eastAsiaTheme="minorEastAsia" w:hAnsi="Times New Roman" w:cs="Times New Roman"/>
          <w:sz w:val="21"/>
          <w:szCs w:val="21"/>
        </w:rPr>
        <w:t>世界大学排名</w:t>
      </w:r>
      <w:r w:rsidRPr="000E259C">
        <w:rPr>
          <w:rFonts w:ascii="Times New Roman" w:eastAsiaTheme="minorEastAsia" w:hAnsi="Times New Roman" w:cs="Times New Roman"/>
          <w:sz w:val="21"/>
          <w:szCs w:val="21"/>
        </w:rPr>
        <w:t>正式发布了</w:t>
      </w:r>
      <w:r w:rsidRPr="000E259C">
        <w:rPr>
          <w:rFonts w:ascii="Times New Roman" w:eastAsiaTheme="minorEastAsia" w:hAnsi="Times New Roman" w:cs="Times New Roman"/>
          <w:sz w:val="21"/>
          <w:szCs w:val="21"/>
        </w:rPr>
        <w:t>2019</w:t>
      </w:r>
      <w:r w:rsidRPr="000E259C">
        <w:rPr>
          <w:rFonts w:ascii="Times New Roman" w:eastAsiaTheme="minorEastAsia" w:hAnsi="Times New Roman" w:cs="Times New Roman"/>
          <w:sz w:val="21"/>
          <w:szCs w:val="21"/>
        </w:rPr>
        <w:t>年中国大陆大学排名。这项首次发布的</w:t>
      </w:r>
      <w:r w:rsidRPr="000E259C">
        <w:rPr>
          <w:rFonts w:ascii="Times New Roman" w:eastAsiaTheme="minorEastAsia" w:hAnsi="Times New Roman" w:cs="Times New Roman"/>
          <w:sz w:val="21"/>
          <w:szCs w:val="21"/>
        </w:rPr>
        <w:t>QS</w:t>
      </w:r>
      <w:r w:rsidRPr="000E259C">
        <w:rPr>
          <w:rFonts w:ascii="Times New Roman" w:eastAsiaTheme="minorEastAsia" w:hAnsi="Times New Roman" w:cs="Times New Roman"/>
          <w:sz w:val="21"/>
          <w:szCs w:val="21"/>
        </w:rPr>
        <w:t>中国大陆大学排名，旨在对中国大陆地区大学的表现进行独立分析，从而发布中国大陆地区排名前</w:t>
      </w:r>
      <w:r w:rsidRPr="000E259C">
        <w:rPr>
          <w:rFonts w:ascii="Times New Roman" w:eastAsiaTheme="minorEastAsia" w:hAnsi="Times New Roman" w:cs="Times New Roman"/>
          <w:sz w:val="21"/>
          <w:szCs w:val="21"/>
        </w:rPr>
        <w:t>100</w:t>
      </w:r>
      <w:r w:rsidRPr="000E259C">
        <w:rPr>
          <w:rFonts w:ascii="Times New Roman" w:eastAsiaTheme="minorEastAsia" w:hAnsi="Times New Roman" w:cs="Times New Roman"/>
          <w:sz w:val="21"/>
          <w:szCs w:val="21"/>
        </w:rPr>
        <w:t>位的大学。不过，</w:t>
      </w:r>
      <w:r w:rsidRPr="000E259C">
        <w:rPr>
          <w:rFonts w:ascii="Times New Roman" w:eastAsiaTheme="minorEastAsia" w:hAnsi="Times New Roman" w:cs="Times New Roman"/>
          <w:sz w:val="21"/>
          <w:szCs w:val="21"/>
        </w:rPr>
        <w:t>QS</w:t>
      </w:r>
      <w:r w:rsidRPr="000E259C">
        <w:rPr>
          <w:rFonts w:ascii="Times New Roman" w:eastAsiaTheme="minorEastAsia" w:hAnsi="Times New Roman" w:cs="Times New Roman"/>
          <w:sz w:val="21"/>
          <w:szCs w:val="21"/>
        </w:rPr>
        <w:t>官网显示的上榜高校仅有</w:t>
      </w:r>
      <w:r w:rsidRPr="000E259C">
        <w:rPr>
          <w:rFonts w:ascii="Times New Roman" w:eastAsiaTheme="minorEastAsia" w:hAnsi="Times New Roman" w:cs="Times New Roman"/>
          <w:sz w:val="21"/>
          <w:szCs w:val="21"/>
        </w:rPr>
        <w:t>99</w:t>
      </w:r>
      <w:r w:rsidRPr="000E259C">
        <w:rPr>
          <w:rFonts w:ascii="Times New Roman" w:eastAsiaTheme="minorEastAsia" w:hAnsi="Times New Roman" w:cs="Times New Roman"/>
          <w:sz w:val="21"/>
          <w:szCs w:val="21"/>
        </w:rPr>
        <w:t>所。</w:t>
      </w:r>
      <w:r w:rsidRPr="000E259C">
        <w:rPr>
          <w:rFonts w:ascii="Times New Roman" w:eastAsiaTheme="minorEastAsia" w:hAnsi="Times New Roman" w:cs="Times New Roman"/>
          <w:sz w:val="21"/>
          <w:szCs w:val="21"/>
        </w:rPr>
        <w:t>QS</w:t>
      </w:r>
      <w:r w:rsidRPr="000E259C">
        <w:rPr>
          <w:rFonts w:ascii="Times New Roman" w:eastAsiaTheme="minorEastAsia" w:hAnsi="Times New Roman" w:cs="Times New Roman"/>
          <w:sz w:val="21"/>
          <w:szCs w:val="21"/>
        </w:rPr>
        <w:t>首次发布的</w:t>
      </w:r>
      <w:r w:rsidRPr="000E259C">
        <w:rPr>
          <w:rFonts w:ascii="Times New Roman" w:eastAsiaTheme="minorEastAsia" w:hAnsi="Times New Roman" w:cs="Times New Roman"/>
          <w:sz w:val="21"/>
          <w:szCs w:val="21"/>
        </w:rPr>
        <w:t>2019</w:t>
      </w:r>
      <w:r w:rsidRPr="000E259C">
        <w:rPr>
          <w:rFonts w:ascii="Times New Roman" w:eastAsiaTheme="minorEastAsia" w:hAnsi="Times New Roman" w:cs="Times New Roman"/>
          <w:sz w:val="21"/>
          <w:szCs w:val="21"/>
        </w:rPr>
        <w:t>年中国大陆大学排名评价指标包括八大类，包括学术声誉</w:t>
      </w:r>
      <w:r w:rsidRPr="000E259C">
        <w:rPr>
          <w:rFonts w:ascii="Times New Roman" w:eastAsiaTheme="minorEastAsia" w:hAnsi="Times New Roman" w:cs="Times New Roman"/>
          <w:sz w:val="21"/>
          <w:szCs w:val="21"/>
        </w:rPr>
        <w:t>(30%)</w:t>
      </w:r>
      <w:r w:rsidRPr="000E259C">
        <w:rPr>
          <w:rFonts w:ascii="Times New Roman" w:eastAsiaTheme="minorEastAsia" w:hAnsi="Times New Roman" w:cs="Times New Roman"/>
          <w:sz w:val="21"/>
          <w:szCs w:val="21"/>
        </w:rPr>
        <w:t>、雇主评价（</w:t>
      </w:r>
      <w:r w:rsidRPr="000E259C">
        <w:rPr>
          <w:rFonts w:ascii="Times New Roman" w:eastAsiaTheme="minorEastAsia" w:hAnsi="Times New Roman" w:cs="Times New Roman"/>
          <w:sz w:val="21"/>
          <w:szCs w:val="21"/>
        </w:rPr>
        <w:t>20%)</w:t>
      </w:r>
      <w:r w:rsidRPr="000E259C">
        <w:rPr>
          <w:rFonts w:ascii="Times New Roman" w:eastAsiaTheme="minorEastAsia" w:hAnsi="Times New Roman" w:cs="Times New Roman"/>
          <w:sz w:val="21"/>
          <w:szCs w:val="21"/>
        </w:rPr>
        <w:t>、师生比例</w:t>
      </w:r>
      <w:r w:rsidRPr="000E259C">
        <w:rPr>
          <w:rFonts w:ascii="Times New Roman" w:eastAsiaTheme="minorEastAsia" w:hAnsi="Times New Roman" w:cs="Times New Roman"/>
          <w:sz w:val="21"/>
          <w:szCs w:val="21"/>
        </w:rPr>
        <w:t>(20%)</w:t>
      </w:r>
      <w:r w:rsidRPr="000E259C">
        <w:rPr>
          <w:rFonts w:ascii="Times New Roman" w:eastAsiaTheme="minorEastAsia" w:hAnsi="Times New Roman" w:cs="Times New Roman"/>
          <w:sz w:val="21"/>
          <w:szCs w:val="21"/>
        </w:rPr>
        <w:t>、教师博士占比（</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）、篇均论文被引用次数（</w:t>
      </w:r>
      <w:r w:rsidRPr="000E259C">
        <w:rPr>
          <w:rFonts w:ascii="Times New Roman" w:eastAsiaTheme="minorEastAsia" w:hAnsi="Times New Roman" w:cs="Times New Roman"/>
          <w:sz w:val="21"/>
          <w:szCs w:val="21"/>
        </w:rPr>
        <w:t>5%</w:t>
      </w:r>
      <w:r w:rsidRPr="000E259C">
        <w:rPr>
          <w:rFonts w:ascii="Times New Roman" w:eastAsiaTheme="minorEastAsia" w:hAnsi="Times New Roman" w:cs="Times New Roman"/>
          <w:sz w:val="21"/>
          <w:szCs w:val="21"/>
        </w:rPr>
        <w:t>）、人均论文数目</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、国际师资占比</w:t>
      </w:r>
      <w:r w:rsidRPr="000E259C">
        <w:rPr>
          <w:rFonts w:ascii="Times New Roman" w:eastAsiaTheme="minorEastAsia" w:hAnsi="Times New Roman" w:cs="Times New Roman"/>
          <w:sz w:val="21"/>
          <w:szCs w:val="21"/>
        </w:rPr>
        <w:t>(2.5%</w:t>
      </w:r>
      <w:r w:rsidRPr="000E259C">
        <w:rPr>
          <w:rFonts w:ascii="Times New Roman" w:eastAsiaTheme="minorEastAsia" w:hAnsi="Times New Roman" w:cs="Times New Roman"/>
          <w:sz w:val="21"/>
          <w:szCs w:val="21"/>
        </w:rPr>
        <w:t>）、国际生比例</w:t>
      </w:r>
      <w:r w:rsidRPr="000E259C">
        <w:rPr>
          <w:rFonts w:ascii="Times New Roman" w:eastAsiaTheme="minorEastAsia" w:hAnsi="Times New Roman" w:cs="Times New Roman"/>
          <w:sz w:val="21"/>
          <w:szCs w:val="21"/>
        </w:rPr>
        <w:t>(2.5%</w:t>
      </w:r>
      <w:r w:rsidRPr="000E259C">
        <w:rPr>
          <w:rFonts w:ascii="Times New Roman" w:eastAsiaTheme="minorEastAsia" w:hAnsi="Times New Roman" w:cs="Times New Roman"/>
          <w:sz w:val="21"/>
          <w:szCs w:val="21"/>
        </w:rPr>
        <w:t>）。共有</w:t>
      </w:r>
      <w:r w:rsidRPr="000E259C">
        <w:rPr>
          <w:rFonts w:ascii="Times New Roman" w:eastAsiaTheme="minorEastAsia" w:hAnsi="Times New Roman" w:cs="Times New Roman"/>
          <w:sz w:val="21"/>
          <w:szCs w:val="21"/>
        </w:rPr>
        <w:t>99</w:t>
      </w:r>
      <w:r w:rsidRPr="000E259C">
        <w:rPr>
          <w:rFonts w:ascii="Times New Roman" w:eastAsiaTheme="minorEastAsia" w:hAnsi="Times New Roman" w:cs="Times New Roman"/>
          <w:sz w:val="21"/>
          <w:szCs w:val="21"/>
        </w:rPr>
        <w:t>所大陆高校上榜，包括一流大学建设高校</w:t>
      </w:r>
      <w:r w:rsidRPr="000E259C">
        <w:rPr>
          <w:rFonts w:ascii="Times New Roman" w:eastAsiaTheme="minorEastAsia" w:hAnsi="Times New Roman" w:cs="Times New Roman"/>
          <w:sz w:val="21"/>
          <w:szCs w:val="21"/>
        </w:rPr>
        <w:t>42</w:t>
      </w:r>
      <w:r w:rsidRPr="000E259C">
        <w:rPr>
          <w:rFonts w:ascii="Times New Roman" w:eastAsiaTheme="minorEastAsia" w:hAnsi="Times New Roman" w:cs="Times New Roman"/>
          <w:sz w:val="21"/>
          <w:szCs w:val="21"/>
        </w:rPr>
        <w:t>所，一流学科建设高校</w:t>
      </w:r>
      <w:r w:rsidRPr="000E259C">
        <w:rPr>
          <w:rFonts w:ascii="Times New Roman" w:eastAsiaTheme="minorEastAsia" w:hAnsi="Times New Roman" w:cs="Times New Roman"/>
          <w:sz w:val="21"/>
          <w:szCs w:val="21"/>
        </w:rPr>
        <w:t>47</w:t>
      </w:r>
      <w:r w:rsidRPr="000E259C">
        <w:rPr>
          <w:rFonts w:ascii="Times New Roman" w:eastAsiaTheme="minorEastAsia" w:hAnsi="Times New Roman" w:cs="Times New Roman"/>
          <w:sz w:val="21"/>
          <w:szCs w:val="21"/>
        </w:rPr>
        <w:t>所，非</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双一流</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高校</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所。清华大学被评为中国大陆地区排名第</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的学府，得分为</w:t>
      </w:r>
      <w:r w:rsidRPr="000E259C">
        <w:rPr>
          <w:rFonts w:ascii="Times New Roman" w:eastAsiaTheme="minorEastAsia" w:hAnsi="Times New Roman" w:cs="Times New Roman"/>
          <w:sz w:val="21"/>
          <w:szCs w:val="21"/>
        </w:rPr>
        <w:t>100</w:t>
      </w:r>
      <w:r w:rsidRPr="000E259C">
        <w:rPr>
          <w:rFonts w:ascii="Times New Roman" w:eastAsiaTheme="minorEastAsia" w:hAnsi="Times New Roman" w:cs="Times New Roman"/>
          <w:sz w:val="21"/>
          <w:szCs w:val="21"/>
        </w:rPr>
        <w:t>分。北京大学位居第</w:t>
      </w:r>
      <w:r w:rsidRPr="000E259C">
        <w:rPr>
          <w:rFonts w:ascii="Times New Roman" w:eastAsiaTheme="minorEastAsia" w:hAnsi="Times New Roman" w:cs="Times New Roman"/>
          <w:sz w:val="21"/>
          <w:szCs w:val="21"/>
        </w:rPr>
        <w:t>2</w:t>
      </w:r>
      <w:r w:rsidRPr="000E259C">
        <w:rPr>
          <w:rFonts w:ascii="Times New Roman" w:eastAsiaTheme="minorEastAsia" w:hAnsi="Times New Roman" w:cs="Times New Roman"/>
          <w:sz w:val="21"/>
          <w:szCs w:val="21"/>
        </w:rPr>
        <w:t>位，得分为</w:t>
      </w:r>
      <w:r w:rsidRPr="000E259C">
        <w:rPr>
          <w:rFonts w:ascii="Times New Roman" w:eastAsiaTheme="minorEastAsia" w:hAnsi="Times New Roman" w:cs="Times New Roman"/>
          <w:sz w:val="21"/>
          <w:szCs w:val="21"/>
        </w:rPr>
        <w:t>95.6</w:t>
      </w:r>
      <w:r w:rsidRPr="000E259C">
        <w:rPr>
          <w:rFonts w:ascii="Times New Roman" w:eastAsiaTheme="minorEastAsia" w:hAnsi="Times New Roman" w:cs="Times New Roman"/>
          <w:sz w:val="21"/>
          <w:szCs w:val="21"/>
        </w:rPr>
        <w:t>分。复旦大学位居第</w:t>
      </w:r>
      <w:r w:rsidRPr="000E259C">
        <w:rPr>
          <w:rFonts w:ascii="Times New Roman" w:eastAsiaTheme="minorEastAsia" w:hAnsi="Times New Roman" w:cs="Times New Roman"/>
          <w:sz w:val="21"/>
          <w:szCs w:val="21"/>
        </w:rPr>
        <w:t>3</w:t>
      </w:r>
      <w:r w:rsidRPr="000E259C">
        <w:rPr>
          <w:rFonts w:ascii="Times New Roman" w:eastAsiaTheme="minorEastAsia" w:hAnsi="Times New Roman" w:cs="Times New Roman"/>
          <w:sz w:val="21"/>
          <w:szCs w:val="21"/>
        </w:rPr>
        <w:t>位，得分为</w:t>
      </w:r>
      <w:r w:rsidRPr="000E259C">
        <w:rPr>
          <w:rFonts w:ascii="Times New Roman" w:eastAsiaTheme="minorEastAsia" w:hAnsi="Times New Roman" w:cs="Times New Roman"/>
          <w:sz w:val="21"/>
          <w:szCs w:val="21"/>
        </w:rPr>
        <w:t>95.5</w:t>
      </w:r>
      <w:r w:rsidRPr="000E259C">
        <w:rPr>
          <w:rFonts w:ascii="Times New Roman" w:eastAsiaTheme="minorEastAsia" w:hAnsi="Times New Roman" w:cs="Times New Roman"/>
          <w:sz w:val="21"/>
          <w:szCs w:val="21"/>
        </w:rPr>
        <w:t>分。中国科学技术大学位居第</w:t>
      </w:r>
      <w:r w:rsidRPr="000E259C">
        <w:rPr>
          <w:rFonts w:ascii="Times New Roman" w:eastAsiaTheme="minorEastAsia" w:hAnsi="Times New Roman" w:cs="Times New Roman"/>
          <w:sz w:val="21"/>
          <w:szCs w:val="21"/>
        </w:rPr>
        <w:t>4</w:t>
      </w:r>
      <w:r w:rsidRPr="000E259C">
        <w:rPr>
          <w:rFonts w:ascii="Times New Roman" w:eastAsiaTheme="minorEastAsia" w:hAnsi="Times New Roman" w:cs="Times New Roman"/>
          <w:sz w:val="21"/>
          <w:szCs w:val="21"/>
        </w:rPr>
        <w:t>位，得分为</w:t>
      </w:r>
      <w:r w:rsidRPr="000E259C">
        <w:rPr>
          <w:rFonts w:ascii="Times New Roman" w:eastAsiaTheme="minorEastAsia" w:hAnsi="Times New Roman" w:cs="Times New Roman"/>
          <w:sz w:val="21"/>
          <w:szCs w:val="21"/>
        </w:rPr>
        <w:t>95.3</w:t>
      </w:r>
      <w:r w:rsidRPr="000E259C">
        <w:rPr>
          <w:rFonts w:ascii="Times New Roman" w:eastAsiaTheme="minorEastAsia" w:hAnsi="Times New Roman" w:cs="Times New Roman"/>
          <w:sz w:val="21"/>
          <w:szCs w:val="21"/>
        </w:rPr>
        <w:t>。浙江大学位居第</w:t>
      </w:r>
      <w:r w:rsidRPr="000E259C">
        <w:rPr>
          <w:rFonts w:ascii="Times New Roman" w:eastAsiaTheme="minorEastAsia" w:hAnsi="Times New Roman" w:cs="Times New Roman"/>
          <w:sz w:val="21"/>
          <w:szCs w:val="21"/>
        </w:rPr>
        <w:t>5</w:t>
      </w:r>
      <w:r w:rsidRPr="000E259C">
        <w:rPr>
          <w:rFonts w:ascii="Times New Roman" w:eastAsiaTheme="minorEastAsia" w:hAnsi="Times New Roman" w:cs="Times New Roman"/>
          <w:sz w:val="21"/>
          <w:szCs w:val="21"/>
        </w:rPr>
        <w:t>位，得分为</w:t>
      </w:r>
      <w:r w:rsidRPr="000E259C">
        <w:rPr>
          <w:rFonts w:ascii="Times New Roman" w:eastAsiaTheme="minorEastAsia" w:hAnsi="Times New Roman" w:cs="Times New Roman"/>
          <w:sz w:val="21"/>
          <w:szCs w:val="21"/>
        </w:rPr>
        <w:t>94.8</w:t>
      </w:r>
      <w:r w:rsidRPr="000E259C">
        <w:rPr>
          <w:rFonts w:ascii="Times New Roman" w:eastAsiaTheme="minorEastAsia" w:hAnsi="Times New Roman" w:cs="Times New Roman"/>
          <w:sz w:val="21"/>
          <w:szCs w:val="21"/>
        </w:rPr>
        <w:t>。排名在第</w:t>
      </w:r>
      <w:r w:rsidRPr="000E259C">
        <w:rPr>
          <w:rFonts w:ascii="Times New Roman" w:eastAsiaTheme="minorEastAsia" w:hAnsi="Times New Roman" w:cs="Times New Roman"/>
          <w:sz w:val="21"/>
          <w:szCs w:val="21"/>
        </w:rPr>
        <w:t>6</w:t>
      </w:r>
      <w:r w:rsidRPr="000E259C">
        <w:rPr>
          <w:rFonts w:ascii="Times New Roman" w:eastAsiaTheme="minorEastAsia" w:hAnsi="Times New Roman" w:cs="Times New Roman"/>
          <w:sz w:val="21"/>
          <w:szCs w:val="21"/>
        </w:rPr>
        <w:t>位</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第</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位的高校分别是上海交通大学、南京大学、中山大学、武汉大学、哈尔滨工业大学。上述高校均是一流大学建设高校。一流学科建设高校中，上海大学位居首位，位居大陆高校</w:t>
      </w:r>
      <w:r w:rsidRPr="000E259C">
        <w:rPr>
          <w:rFonts w:ascii="Times New Roman" w:eastAsiaTheme="minorEastAsia" w:hAnsi="Times New Roman" w:cs="Times New Roman"/>
          <w:sz w:val="21"/>
          <w:szCs w:val="21"/>
        </w:rPr>
        <w:t>16</w:t>
      </w:r>
      <w:r w:rsidRPr="000E259C">
        <w:rPr>
          <w:rFonts w:ascii="Times New Roman" w:eastAsiaTheme="minorEastAsia" w:hAnsi="Times New Roman" w:cs="Times New Roman"/>
          <w:sz w:val="21"/>
          <w:szCs w:val="21"/>
        </w:rPr>
        <w:t>位，超过大多数一流大学建设高校。北京科技大学紧随其后，位居大陆高校</w:t>
      </w:r>
      <w:r w:rsidRPr="000E259C">
        <w:rPr>
          <w:rFonts w:ascii="Times New Roman" w:eastAsiaTheme="minorEastAsia" w:hAnsi="Times New Roman" w:cs="Times New Roman"/>
          <w:sz w:val="21"/>
          <w:szCs w:val="21"/>
        </w:rPr>
        <w:t>27</w:t>
      </w:r>
      <w:r w:rsidRPr="000E259C">
        <w:rPr>
          <w:rFonts w:ascii="Times New Roman" w:eastAsiaTheme="minorEastAsia" w:hAnsi="Times New Roman" w:cs="Times New Roman"/>
          <w:sz w:val="21"/>
          <w:szCs w:val="21"/>
        </w:rPr>
        <w:t>位。华东理工大学位居大陆高校</w:t>
      </w:r>
      <w:r w:rsidRPr="000E259C">
        <w:rPr>
          <w:rFonts w:ascii="Times New Roman" w:eastAsiaTheme="minorEastAsia" w:hAnsi="Times New Roman" w:cs="Times New Roman"/>
          <w:sz w:val="21"/>
          <w:szCs w:val="21"/>
        </w:rPr>
        <w:t>32</w:t>
      </w:r>
      <w:r w:rsidRPr="000E259C">
        <w:rPr>
          <w:rFonts w:ascii="Times New Roman" w:eastAsiaTheme="minorEastAsia" w:hAnsi="Times New Roman" w:cs="Times New Roman"/>
          <w:sz w:val="21"/>
          <w:szCs w:val="21"/>
        </w:rPr>
        <w:t>位，表现不俗。其他排名靠前的一流学科建设高校还有北京工业大学（</w:t>
      </w:r>
      <w:r w:rsidRPr="000E259C">
        <w:rPr>
          <w:rFonts w:ascii="Times New Roman" w:eastAsiaTheme="minorEastAsia" w:hAnsi="Times New Roman" w:cs="Times New Roman"/>
          <w:sz w:val="21"/>
          <w:szCs w:val="21"/>
        </w:rPr>
        <w:t>33</w:t>
      </w:r>
      <w:r w:rsidRPr="000E259C">
        <w:rPr>
          <w:rFonts w:ascii="Times New Roman" w:eastAsiaTheme="minorEastAsia" w:hAnsi="Times New Roman" w:cs="Times New Roman"/>
          <w:sz w:val="21"/>
          <w:szCs w:val="21"/>
        </w:rPr>
        <w:t>位）、北京邮电大学（</w:t>
      </w:r>
      <w:r w:rsidRPr="000E259C">
        <w:rPr>
          <w:rFonts w:ascii="Times New Roman" w:eastAsiaTheme="minorEastAsia" w:hAnsi="Times New Roman" w:cs="Times New Roman"/>
          <w:sz w:val="21"/>
          <w:szCs w:val="21"/>
        </w:rPr>
        <w:t>36</w:t>
      </w:r>
      <w:r w:rsidRPr="000E259C">
        <w:rPr>
          <w:rFonts w:ascii="Times New Roman" w:eastAsiaTheme="minorEastAsia" w:hAnsi="Times New Roman" w:cs="Times New Roman"/>
          <w:sz w:val="21"/>
          <w:szCs w:val="21"/>
        </w:rPr>
        <w:t>位）、南京理工大学（</w:t>
      </w:r>
      <w:r w:rsidRPr="000E259C">
        <w:rPr>
          <w:rFonts w:ascii="Times New Roman" w:eastAsiaTheme="minorEastAsia" w:hAnsi="Times New Roman" w:cs="Times New Roman"/>
          <w:sz w:val="21"/>
          <w:szCs w:val="21"/>
        </w:rPr>
        <w:t>40</w:t>
      </w:r>
      <w:r w:rsidRPr="000E259C">
        <w:rPr>
          <w:rFonts w:ascii="Times New Roman" w:eastAsiaTheme="minorEastAsia" w:hAnsi="Times New Roman" w:cs="Times New Roman"/>
          <w:sz w:val="21"/>
          <w:szCs w:val="21"/>
        </w:rPr>
        <w:t>位）、苏州大学（</w:t>
      </w:r>
      <w:r w:rsidRPr="000E259C">
        <w:rPr>
          <w:rFonts w:ascii="Times New Roman" w:eastAsiaTheme="minorEastAsia" w:hAnsi="Times New Roman" w:cs="Times New Roman"/>
          <w:sz w:val="21"/>
          <w:szCs w:val="21"/>
        </w:rPr>
        <w:t>41</w:t>
      </w:r>
      <w:r w:rsidRPr="000E259C">
        <w:rPr>
          <w:rFonts w:ascii="Times New Roman" w:eastAsiaTheme="minorEastAsia" w:hAnsi="Times New Roman" w:cs="Times New Roman"/>
          <w:sz w:val="21"/>
          <w:szCs w:val="21"/>
        </w:rPr>
        <w:t>位）等。非双一流高校中，近年来发展迅速的新兴高校</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南方科技大学居首，排名</w:t>
      </w:r>
      <w:r w:rsidRPr="000E259C">
        <w:rPr>
          <w:rFonts w:ascii="Times New Roman" w:eastAsiaTheme="minorEastAsia" w:hAnsi="Times New Roman" w:cs="Times New Roman"/>
          <w:sz w:val="21"/>
          <w:szCs w:val="21"/>
        </w:rPr>
        <w:t>38</w:t>
      </w:r>
      <w:r w:rsidRPr="000E259C">
        <w:rPr>
          <w:rFonts w:ascii="Times New Roman" w:eastAsiaTheme="minorEastAsia" w:hAnsi="Times New Roman" w:cs="Times New Roman"/>
          <w:sz w:val="21"/>
          <w:szCs w:val="21"/>
        </w:rPr>
        <w:t>位，超出大部分双一流高校。南京医科大学仅次于南方科技大学，排名</w:t>
      </w:r>
      <w:r w:rsidRPr="000E259C">
        <w:rPr>
          <w:rFonts w:ascii="Times New Roman" w:eastAsiaTheme="minorEastAsia" w:hAnsi="Times New Roman" w:cs="Times New Roman"/>
          <w:sz w:val="21"/>
          <w:szCs w:val="21"/>
        </w:rPr>
        <w:t>57</w:t>
      </w:r>
      <w:r w:rsidRPr="000E259C">
        <w:rPr>
          <w:rFonts w:ascii="Times New Roman" w:eastAsiaTheme="minorEastAsia" w:hAnsi="Times New Roman" w:cs="Times New Roman"/>
          <w:sz w:val="21"/>
          <w:szCs w:val="21"/>
        </w:rPr>
        <w:t>位。其他上榜高校还包括江苏大学（</w:t>
      </w:r>
      <w:r w:rsidRPr="000E259C">
        <w:rPr>
          <w:rFonts w:ascii="Times New Roman" w:eastAsiaTheme="minorEastAsia" w:hAnsi="Times New Roman" w:cs="Times New Roman"/>
          <w:sz w:val="21"/>
          <w:szCs w:val="21"/>
        </w:rPr>
        <w:t>61</w:t>
      </w:r>
      <w:r w:rsidRPr="000E259C">
        <w:rPr>
          <w:rFonts w:ascii="Times New Roman" w:eastAsiaTheme="minorEastAsia" w:hAnsi="Times New Roman" w:cs="Times New Roman"/>
          <w:sz w:val="21"/>
          <w:szCs w:val="21"/>
        </w:rPr>
        <w:t>位）、深圳大学（</w:t>
      </w:r>
      <w:r w:rsidRPr="000E259C">
        <w:rPr>
          <w:rFonts w:ascii="Times New Roman" w:eastAsiaTheme="minorEastAsia" w:hAnsi="Times New Roman" w:cs="Times New Roman"/>
          <w:sz w:val="21"/>
          <w:szCs w:val="21"/>
        </w:rPr>
        <w:t>63</w:t>
      </w:r>
      <w:r w:rsidRPr="000E259C">
        <w:rPr>
          <w:rFonts w:ascii="Times New Roman" w:eastAsiaTheme="minorEastAsia" w:hAnsi="Times New Roman" w:cs="Times New Roman"/>
          <w:sz w:val="21"/>
          <w:szCs w:val="21"/>
        </w:rPr>
        <w:t>位）、上海师范大学（</w:t>
      </w:r>
      <w:r w:rsidRPr="000E259C">
        <w:rPr>
          <w:rFonts w:ascii="Times New Roman" w:eastAsiaTheme="minorEastAsia" w:hAnsi="Times New Roman" w:cs="Times New Roman"/>
          <w:sz w:val="21"/>
          <w:szCs w:val="21"/>
        </w:rPr>
        <w:t>68</w:t>
      </w:r>
      <w:r w:rsidRPr="000E259C">
        <w:rPr>
          <w:rFonts w:ascii="Times New Roman" w:eastAsiaTheme="minorEastAsia" w:hAnsi="Times New Roman" w:cs="Times New Roman"/>
          <w:sz w:val="21"/>
          <w:szCs w:val="21"/>
        </w:rPr>
        <w:t>位）、燕山大学（</w:t>
      </w:r>
      <w:r w:rsidRPr="000E259C">
        <w:rPr>
          <w:rFonts w:ascii="Times New Roman" w:eastAsiaTheme="minorEastAsia" w:hAnsi="Times New Roman" w:cs="Times New Roman"/>
          <w:sz w:val="21"/>
          <w:szCs w:val="21"/>
        </w:rPr>
        <w:t>72</w:t>
      </w:r>
      <w:r w:rsidRPr="000E259C">
        <w:rPr>
          <w:rFonts w:ascii="Times New Roman" w:eastAsiaTheme="minorEastAsia" w:hAnsi="Times New Roman" w:cs="Times New Roman"/>
          <w:sz w:val="21"/>
          <w:szCs w:val="21"/>
        </w:rPr>
        <w:t>位）、汕头大学（</w:t>
      </w:r>
      <w:r w:rsidRPr="000E259C">
        <w:rPr>
          <w:rFonts w:ascii="Times New Roman" w:eastAsiaTheme="minorEastAsia" w:hAnsi="Times New Roman" w:cs="Times New Roman"/>
          <w:sz w:val="21"/>
          <w:szCs w:val="21"/>
        </w:rPr>
        <w:t>76</w:t>
      </w:r>
      <w:r w:rsidRPr="000E259C">
        <w:rPr>
          <w:rFonts w:ascii="Times New Roman" w:eastAsiaTheme="minorEastAsia" w:hAnsi="Times New Roman" w:cs="Times New Roman"/>
          <w:sz w:val="21"/>
          <w:szCs w:val="21"/>
        </w:rPr>
        <w:t>位）、西交利物浦大学（</w:t>
      </w:r>
      <w:r w:rsidRPr="000E259C">
        <w:rPr>
          <w:rFonts w:ascii="Times New Roman" w:eastAsiaTheme="minorEastAsia" w:hAnsi="Times New Roman" w:cs="Times New Roman"/>
          <w:sz w:val="21"/>
          <w:szCs w:val="21"/>
        </w:rPr>
        <w:t>79</w:t>
      </w:r>
      <w:r w:rsidRPr="000E259C">
        <w:rPr>
          <w:rFonts w:ascii="Times New Roman" w:eastAsiaTheme="minorEastAsia" w:hAnsi="Times New Roman" w:cs="Times New Roman"/>
          <w:sz w:val="21"/>
          <w:szCs w:val="21"/>
        </w:rPr>
        <w:t>位）、上海对外经贸大学（</w:t>
      </w:r>
      <w:r w:rsidRPr="000E259C">
        <w:rPr>
          <w:rFonts w:ascii="Times New Roman" w:eastAsiaTheme="minorEastAsia" w:hAnsi="Times New Roman" w:cs="Times New Roman"/>
          <w:sz w:val="21"/>
          <w:szCs w:val="21"/>
        </w:rPr>
        <w:t>82</w:t>
      </w:r>
      <w:r w:rsidRPr="000E259C">
        <w:rPr>
          <w:rFonts w:ascii="Times New Roman" w:eastAsiaTheme="minorEastAsia" w:hAnsi="Times New Roman" w:cs="Times New Roman"/>
          <w:sz w:val="21"/>
          <w:szCs w:val="21"/>
        </w:rPr>
        <w:t>位）、扬州大</w:t>
      </w:r>
      <w:r w:rsidRPr="00DC3217">
        <w:rPr>
          <w:rFonts w:asciiTheme="minorEastAsia" w:eastAsiaTheme="minorEastAsia" w:hAnsiTheme="minorEastAsia" w:cs="Times New Roman" w:hint="eastAsia"/>
          <w:sz w:val="21"/>
          <w:szCs w:val="21"/>
        </w:rPr>
        <w:t>学（96位）</w:t>
      </w:r>
      <w:r w:rsidRPr="000E259C">
        <w:rPr>
          <w:rFonts w:ascii="Times New Roman" w:eastAsiaTheme="minorEastAsia" w:hAnsi="Times New Roman" w:cs="Times New Roman"/>
          <w:sz w:val="21"/>
          <w:szCs w:val="21"/>
        </w:rPr>
        <w:lastRenderedPageBreak/>
        <w:t>等，上述高校基本都是综合实力较强的省属重点高校和发展较快的新兴高校。来源：《青塔网》（</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sz w:val="21"/>
          <w:szCs w:val="21"/>
        </w:rPr>
        <w:t>11</w:t>
      </w:r>
      <w:r w:rsidRPr="000E259C">
        <w:rPr>
          <w:rFonts w:ascii="Times New Roman" w:eastAsiaTheme="minorEastAsia" w:hAnsi="Times New Roman" w:cs="Times New Roman"/>
          <w:sz w:val="21"/>
          <w:szCs w:val="21"/>
        </w:rPr>
        <w:t>日）</w:t>
      </w:r>
    </w:p>
    <w:p w:rsidR="005023C4" w:rsidRPr="000E259C" w:rsidRDefault="005023C4" w:rsidP="008C5A90">
      <w:pPr>
        <w:spacing w:beforeLines="50" w:before="120" w:afterLines="0" w:line="324" w:lineRule="auto"/>
        <w:rPr>
          <w:rFonts w:ascii="Times New Roman" w:eastAsiaTheme="minorEastAsia" w:hAnsi="Times New Roman" w:cs="Times New Roman"/>
          <w:sz w:val="21"/>
          <w:szCs w:val="21"/>
        </w:rPr>
      </w:pPr>
      <w:r w:rsidRPr="000E259C">
        <w:rPr>
          <w:rFonts w:ascii="Times New Roman" w:eastAsiaTheme="minorEastAsia" w:hAnsi="Times New Roman" w:cs="Times New Roman"/>
          <w:b/>
          <w:sz w:val="24"/>
          <w:szCs w:val="24"/>
        </w:rPr>
        <w:t>▲USNews 2019</w:t>
      </w:r>
      <w:r w:rsidRPr="000E259C">
        <w:rPr>
          <w:rFonts w:ascii="Times New Roman" w:eastAsiaTheme="minorEastAsia" w:hAnsi="Times New Roman" w:cs="Times New Roman"/>
          <w:b/>
          <w:sz w:val="24"/>
          <w:szCs w:val="24"/>
        </w:rPr>
        <w:t>世界大学排行榜出炉</w:t>
      </w:r>
      <w:r w:rsidRPr="000E259C">
        <w:rPr>
          <w:rFonts w:ascii="Times New Roman" w:eastAsiaTheme="minorEastAsia" w:hAnsi="Times New Roman" w:cs="Times New Roman"/>
          <w:b/>
          <w:sz w:val="24"/>
          <w:szCs w:val="24"/>
        </w:rPr>
        <w:t xml:space="preserve"> 161</w:t>
      </w:r>
      <w:r w:rsidRPr="000E259C">
        <w:rPr>
          <w:rFonts w:ascii="Times New Roman" w:eastAsiaTheme="minorEastAsia" w:hAnsi="Times New Roman" w:cs="Times New Roman"/>
          <w:b/>
          <w:sz w:val="24"/>
          <w:szCs w:val="24"/>
        </w:rPr>
        <w:t>所中国高校上榜</w:t>
      </w:r>
      <w:r w:rsidRPr="000E259C">
        <w:rPr>
          <w:rFonts w:ascii="Times New Roman" w:eastAsiaTheme="minorEastAsia" w:hAnsi="Times New Roman" w:cs="Times New Roman"/>
          <w:b/>
          <w:bCs/>
          <w:sz w:val="24"/>
          <w:szCs w:val="24"/>
        </w:rPr>
        <w:t xml:space="preserve"> </w:t>
      </w:r>
      <w:r w:rsidRPr="000E259C">
        <w:rPr>
          <w:rFonts w:ascii="Times New Roman" w:eastAsiaTheme="minorEastAsia" w:hAnsi="Times New Roman" w:cs="Times New Roman"/>
          <w:sz w:val="21"/>
          <w:szCs w:val="21"/>
        </w:rPr>
        <w:t>近日，</w:t>
      </w:r>
      <w:r w:rsidRPr="000E259C">
        <w:rPr>
          <w:rFonts w:ascii="Times New Roman" w:eastAsiaTheme="minorEastAsia" w:hAnsi="Times New Roman" w:cs="Times New Roman"/>
          <w:sz w:val="21"/>
          <w:szCs w:val="21"/>
        </w:rPr>
        <w:t>USNews</w:t>
      </w:r>
      <w:r w:rsidRPr="000E259C">
        <w:rPr>
          <w:rFonts w:ascii="Times New Roman" w:eastAsiaTheme="minorEastAsia" w:hAnsi="Times New Roman" w:cs="Times New Roman"/>
          <w:sz w:val="21"/>
          <w:szCs w:val="21"/>
        </w:rPr>
        <w:t>发布</w:t>
      </w:r>
      <w:r w:rsidRPr="000E259C">
        <w:rPr>
          <w:rFonts w:ascii="Times New Roman" w:eastAsiaTheme="minorEastAsia" w:hAnsi="Times New Roman" w:cs="Times New Roman"/>
          <w:sz w:val="21"/>
          <w:szCs w:val="21"/>
        </w:rPr>
        <w:t>2019</w:t>
      </w:r>
      <w:r w:rsidRPr="000E259C">
        <w:rPr>
          <w:rFonts w:ascii="Times New Roman" w:eastAsiaTheme="minorEastAsia" w:hAnsi="Times New Roman" w:cs="Times New Roman"/>
          <w:sz w:val="21"/>
          <w:szCs w:val="21"/>
        </w:rPr>
        <w:t>世界大学排行榜，来自全球</w:t>
      </w:r>
      <w:r w:rsidRPr="000E259C">
        <w:rPr>
          <w:rFonts w:ascii="Times New Roman" w:eastAsiaTheme="minorEastAsia" w:hAnsi="Times New Roman" w:cs="Times New Roman"/>
          <w:sz w:val="21"/>
          <w:szCs w:val="21"/>
        </w:rPr>
        <w:t>70</w:t>
      </w:r>
      <w:r w:rsidRPr="000E259C">
        <w:rPr>
          <w:rFonts w:ascii="Times New Roman" w:eastAsiaTheme="minorEastAsia" w:hAnsi="Times New Roman" w:cs="Times New Roman"/>
          <w:sz w:val="21"/>
          <w:szCs w:val="21"/>
        </w:rPr>
        <w:t>多个国家的</w:t>
      </w:r>
      <w:r w:rsidRPr="000E259C">
        <w:rPr>
          <w:rFonts w:ascii="Times New Roman" w:eastAsiaTheme="minorEastAsia" w:hAnsi="Times New Roman" w:cs="Times New Roman"/>
          <w:sz w:val="21"/>
          <w:szCs w:val="21"/>
        </w:rPr>
        <w:t>1250</w:t>
      </w:r>
      <w:r w:rsidRPr="000E259C">
        <w:rPr>
          <w:rFonts w:ascii="Times New Roman" w:eastAsiaTheme="minorEastAsia" w:hAnsi="Times New Roman" w:cs="Times New Roman"/>
          <w:sz w:val="21"/>
          <w:szCs w:val="21"/>
        </w:rPr>
        <w:t>所知名大学入围，其中中国高校</w:t>
      </w:r>
      <w:r w:rsidRPr="000E259C">
        <w:rPr>
          <w:rFonts w:ascii="Times New Roman" w:eastAsiaTheme="minorEastAsia" w:hAnsi="Times New Roman" w:cs="Times New Roman"/>
          <w:sz w:val="21"/>
          <w:szCs w:val="21"/>
        </w:rPr>
        <w:t>161</w:t>
      </w:r>
      <w:r w:rsidRPr="000E259C">
        <w:rPr>
          <w:rFonts w:ascii="Times New Roman" w:eastAsiaTheme="minorEastAsia" w:hAnsi="Times New Roman" w:cs="Times New Roman"/>
          <w:sz w:val="21"/>
          <w:szCs w:val="21"/>
        </w:rPr>
        <w:t>所。今年的</w:t>
      </w:r>
      <w:r w:rsidRPr="000E259C">
        <w:rPr>
          <w:rFonts w:ascii="Times New Roman" w:eastAsiaTheme="minorEastAsia" w:hAnsi="Times New Roman" w:cs="Times New Roman"/>
          <w:sz w:val="21"/>
          <w:szCs w:val="21"/>
        </w:rPr>
        <w:t>USNews</w:t>
      </w:r>
      <w:r w:rsidRPr="000E259C">
        <w:rPr>
          <w:rFonts w:ascii="Times New Roman" w:eastAsiaTheme="minorEastAsia" w:hAnsi="Times New Roman" w:cs="Times New Roman"/>
          <w:sz w:val="21"/>
          <w:szCs w:val="21"/>
        </w:rPr>
        <w:t>世界大学排名主要指标如下：全球研究声誉</w:t>
      </w:r>
      <w:r w:rsidRPr="000E259C">
        <w:rPr>
          <w:rFonts w:ascii="Times New Roman" w:eastAsiaTheme="minorEastAsia" w:hAnsi="Times New Roman" w:cs="Times New Roman"/>
          <w:sz w:val="21"/>
          <w:szCs w:val="21"/>
        </w:rPr>
        <w:t>12.5%</w:t>
      </w:r>
      <w:r w:rsidRPr="000E259C">
        <w:rPr>
          <w:rFonts w:ascii="Times New Roman" w:eastAsiaTheme="minorEastAsia" w:hAnsi="Times New Roman" w:cs="Times New Roman"/>
          <w:sz w:val="21"/>
          <w:szCs w:val="21"/>
        </w:rPr>
        <w:t>，地区性研究声誉</w:t>
      </w:r>
      <w:r w:rsidRPr="000E259C">
        <w:rPr>
          <w:rFonts w:ascii="Times New Roman" w:eastAsiaTheme="minorEastAsia" w:hAnsi="Times New Roman" w:cs="Times New Roman"/>
          <w:sz w:val="21"/>
          <w:szCs w:val="21"/>
        </w:rPr>
        <w:t xml:space="preserve"> 12.5%</w:t>
      </w:r>
      <w:r w:rsidRPr="000E259C">
        <w:rPr>
          <w:rFonts w:ascii="Times New Roman" w:eastAsiaTheme="minorEastAsia" w:hAnsi="Times New Roman" w:cs="Times New Roman"/>
          <w:sz w:val="21"/>
          <w:szCs w:val="21"/>
        </w:rPr>
        <w:t>，发表论文</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，出版书籍</w:t>
      </w:r>
      <w:r w:rsidRPr="000E259C">
        <w:rPr>
          <w:rFonts w:ascii="Times New Roman" w:eastAsiaTheme="minorEastAsia" w:hAnsi="Times New Roman" w:cs="Times New Roman"/>
          <w:sz w:val="21"/>
          <w:szCs w:val="21"/>
        </w:rPr>
        <w:t>2.5%</w:t>
      </w:r>
      <w:r w:rsidRPr="000E259C">
        <w:rPr>
          <w:rFonts w:ascii="Times New Roman" w:eastAsiaTheme="minorEastAsia" w:hAnsi="Times New Roman" w:cs="Times New Roman"/>
          <w:sz w:val="21"/>
          <w:szCs w:val="21"/>
        </w:rPr>
        <w:t>，学术会议</w:t>
      </w:r>
      <w:r w:rsidRPr="000E259C">
        <w:rPr>
          <w:rFonts w:ascii="Times New Roman" w:eastAsiaTheme="minorEastAsia" w:hAnsi="Times New Roman" w:cs="Times New Roman"/>
          <w:sz w:val="21"/>
          <w:szCs w:val="21"/>
        </w:rPr>
        <w:t>2.5%</w:t>
      </w:r>
      <w:r w:rsidRPr="000E259C">
        <w:rPr>
          <w:rFonts w:ascii="Times New Roman" w:eastAsiaTheme="minorEastAsia" w:hAnsi="Times New Roman" w:cs="Times New Roman"/>
          <w:sz w:val="21"/>
          <w:szCs w:val="21"/>
        </w:rPr>
        <w:t>，标准化引用影响</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，总被引用次数</w:t>
      </w:r>
      <w:r w:rsidRPr="000E259C">
        <w:rPr>
          <w:rFonts w:ascii="Times New Roman" w:eastAsiaTheme="minorEastAsia" w:hAnsi="Times New Roman" w:cs="Times New Roman"/>
          <w:sz w:val="21"/>
          <w:szCs w:val="21"/>
        </w:rPr>
        <w:t>7.5%</w:t>
      </w:r>
      <w:r w:rsidRPr="000E259C">
        <w:rPr>
          <w:rFonts w:ascii="Times New Roman" w:eastAsiaTheme="minorEastAsia" w:hAnsi="Times New Roman" w:cs="Times New Roman"/>
          <w:sz w:val="21"/>
          <w:szCs w:val="21"/>
        </w:rPr>
        <w:t>，高频被引文献数量（在引用最多文献的前</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 xml:space="preserve"> 12.5%</w:t>
      </w:r>
      <w:r w:rsidRPr="000E259C">
        <w:rPr>
          <w:rFonts w:ascii="Times New Roman" w:eastAsiaTheme="minorEastAsia" w:hAnsi="Times New Roman" w:cs="Times New Roman"/>
          <w:sz w:val="21"/>
          <w:szCs w:val="21"/>
        </w:rPr>
        <w:t>，高频被引文献百分比（在引用最多文献的前</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，国际合作</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，高频被引文献数量（在各自领域被引次数最多的前</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5%</w:t>
      </w:r>
      <w:r w:rsidRPr="000E259C">
        <w:rPr>
          <w:rFonts w:ascii="Times New Roman" w:eastAsiaTheme="minorEastAsia" w:hAnsi="Times New Roman" w:cs="Times New Roman"/>
          <w:sz w:val="21"/>
          <w:szCs w:val="21"/>
        </w:rPr>
        <w:t>和高频被引文献百分比（在各自领域被引次数最多的前</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5%</w:t>
      </w:r>
      <w:r w:rsidRPr="000E259C">
        <w:rPr>
          <w:rFonts w:ascii="Times New Roman" w:eastAsiaTheme="minorEastAsia" w:hAnsi="Times New Roman" w:cs="Times New Roman"/>
          <w:sz w:val="21"/>
          <w:szCs w:val="21"/>
        </w:rPr>
        <w:t>。中国共有</w:t>
      </w:r>
      <w:r w:rsidRPr="000E259C">
        <w:rPr>
          <w:rFonts w:ascii="Times New Roman" w:eastAsiaTheme="minorEastAsia" w:hAnsi="Times New Roman" w:cs="Times New Roman"/>
          <w:sz w:val="21"/>
          <w:szCs w:val="21"/>
        </w:rPr>
        <w:t>161</w:t>
      </w:r>
      <w:r w:rsidRPr="000E259C">
        <w:rPr>
          <w:rFonts w:ascii="Times New Roman" w:eastAsiaTheme="minorEastAsia" w:hAnsi="Times New Roman" w:cs="Times New Roman"/>
          <w:sz w:val="21"/>
          <w:szCs w:val="21"/>
        </w:rPr>
        <w:t>所高校入围</w:t>
      </w:r>
      <w:r w:rsidRPr="000E259C">
        <w:rPr>
          <w:rFonts w:ascii="Times New Roman" w:eastAsiaTheme="minorEastAsia" w:hAnsi="Times New Roman" w:cs="Times New Roman"/>
          <w:sz w:val="21"/>
          <w:szCs w:val="21"/>
        </w:rPr>
        <w:t> USNews 2019</w:t>
      </w:r>
      <w:r w:rsidRPr="000E259C">
        <w:rPr>
          <w:rFonts w:ascii="Times New Roman" w:eastAsiaTheme="minorEastAsia" w:hAnsi="Times New Roman" w:cs="Times New Roman"/>
          <w:sz w:val="21"/>
          <w:szCs w:val="21"/>
        </w:rPr>
        <w:t>世界大学排行榜，排名表现不俗。其中内地高校</w:t>
      </w:r>
      <w:r w:rsidRPr="000E259C">
        <w:rPr>
          <w:rFonts w:ascii="Times New Roman" w:eastAsiaTheme="minorEastAsia" w:hAnsi="Times New Roman" w:cs="Times New Roman"/>
          <w:sz w:val="21"/>
          <w:szCs w:val="21"/>
        </w:rPr>
        <w:t>130</w:t>
      </w:r>
      <w:r w:rsidRPr="000E259C">
        <w:rPr>
          <w:rFonts w:ascii="Times New Roman" w:eastAsiaTheme="minorEastAsia" w:hAnsi="Times New Roman" w:cs="Times New Roman"/>
          <w:sz w:val="21"/>
          <w:szCs w:val="21"/>
        </w:rPr>
        <w:t>所，香港高校</w:t>
      </w:r>
      <w:r w:rsidRPr="000E259C">
        <w:rPr>
          <w:rFonts w:ascii="Times New Roman" w:eastAsiaTheme="minorEastAsia" w:hAnsi="Times New Roman" w:cs="Times New Roman"/>
          <w:sz w:val="21"/>
          <w:szCs w:val="21"/>
        </w:rPr>
        <w:t>7</w:t>
      </w:r>
      <w:r w:rsidRPr="000E259C">
        <w:rPr>
          <w:rFonts w:ascii="Times New Roman" w:eastAsiaTheme="minorEastAsia" w:hAnsi="Times New Roman" w:cs="Times New Roman"/>
          <w:sz w:val="21"/>
          <w:szCs w:val="21"/>
        </w:rPr>
        <w:t>所，澳门高校</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所，台湾高校</w:t>
      </w:r>
      <w:r w:rsidRPr="000E259C">
        <w:rPr>
          <w:rFonts w:ascii="Times New Roman" w:eastAsiaTheme="minorEastAsia" w:hAnsi="Times New Roman" w:cs="Times New Roman"/>
          <w:sz w:val="21"/>
          <w:szCs w:val="21"/>
        </w:rPr>
        <w:t>23</w:t>
      </w:r>
      <w:r w:rsidRPr="000E259C">
        <w:rPr>
          <w:rFonts w:ascii="Times New Roman" w:eastAsiaTheme="minorEastAsia" w:hAnsi="Times New Roman" w:cs="Times New Roman"/>
          <w:sz w:val="21"/>
          <w:szCs w:val="21"/>
        </w:rPr>
        <w:t>所。不过，相较去年，中国高校整体排名有所下降。今年，中国内地上榜高校相比去年减少</w:t>
      </w:r>
      <w:r w:rsidRPr="000E259C">
        <w:rPr>
          <w:rFonts w:ascii="Times New Roman" w:eastAsiaTheme="minorEastAsia" w:hAnsi="Times New Roman" w:cs="Times New Roman"/>
          <w:sz w:val="21"/>
          <w:szCs w:val="21"/>
        </w:rPr>
        <w:t>6</w:t>
      </w:r>
      <w:r w:rsidRPr="000E259C">
        <w:rPr>
          <w:rFonts w:ascii="Times New Roman" w:eastAsiaTheme="minorEastAsia" w:hAnsi="Times New Roman" w:cs="Times New Roman"/>
          <w:sz w:val="21"/>
          <w:szCs w:val="21"/>
        </w:rPr>
        <w:t>所。清华大学排名全球第</w:t>
      </w:r>
      <w:r w:rsidRPr="000E259C">
        <w:rPr>
          <w:rFonts w:ascii="Times New Roman" w:eastAsiaTheme="minorEastAsia" w:hAnsi="Times New Roman" w:cs="Times New Roman"/>
          <w:sz w:val="21"/>
          <w:szCs w:val="21"/>
        </w:rPr>
        <w:t>50</w:t>
      </w:r>
      <w:r w:rsidRPr="000E259C">
        <w:rPr>
          <w:rFonts w:ascii="Times New Roman" w:eastAsiaTheme="minorEastAsia" w:hAnsi="Times New Roman" w:cs="Times New Roman"/>
          <w:sz w:val="21"/>
          <w:szCs w:val="21"/>
        </w:rPr>
        <w:t>位，比去年进步</w:t>
      </w:r>
      <w:r w:rsidRPr="000E259C">
        <w:rPr>
          <w:rFonts w:ascii="Times New Roman" w:eastAsiaTheme="minorEastAsia" w:hAnsi="Times New Roman" w:cs="Times New Roman"/>
          <w:sz w:val="21"/>
          <w:szCs w:val="21"/>
        </w:rPr>
        <w:t>14</w:t>
      </w:r>
      <w:r w:rsidRPr="000E259C">
        <w:rPr>
          <w:rFonts w:ascii="Times New Roman" w:eastAsiaTheme="minorEastAsia" w:hAnsi="Times New Roman" w:cs="Times New Roman"/>
          <w:sz w:val="21"/>
          <w:szCs w:val="21"/>
        </w:rPr>
        <w:t>位，居内地高校第一。北京大学紧随其后，排名全球第</w:t>
      </w:r>
      <w:r w:rsidRPr="000E259C">
        <w:rPr>
          <w:rFonts w:ascii="Times New Roman" w:eastAsiaTheme="minorEastAsia" w:hAnsi="Times New Roman" w:cs="Times New Roman"/>
          <w:sz w:val="21"/>
          <w:szCs w:val="21"/>
        </w:rPr>
        <w:t>68</w:t>
      </w:r>
      <w:r w:rsidRPr="000E259C">
        <w:rPr>
          <w:rFonts w:ascii="Times New Roman" w:eastAsiaTheme="minorEastAsia" w:hAnsi="Times New Roman" w:cs="Times New Roman"/>
          <w:sz w:val="21"/>
          <w:szCs w:val="21"/>
        </w:rPr>
        <w:t>位，居内地高校第二。清华和北大也是仅有的</w:t>
      </w:r>
      <w:r w:rsidRPr="000E259C">
        <w:rPr>
          <w:rFonts w:ascii="Times New Roman" w:eastAsiaTheme="minorEastAsia" w:hAnsi="Times New Roman" w:cs="Times New Roman"/>
          <w:sz w:val="21"/>
          <w:szCs w:val="21"/>
        </w:rPr>
        <w:t>2</w:t>
      </w:r>
      <w:r w:rsidRPr="000E259C">
        <w:rPr>
          <w:rFonts w:ascii="Times New Roman" w:eastAsiaTheme="minorEastAsia" w:hAnsi="Times New Roman" w:cs="Times New Roman"/>
          <w:sz w:val="21"/>
          <w:szCs w:val="21"/>
        </w:rPr>
        <w:t>所入围全球前</w:t>
      </w:r>
      <w:r w:rsidRPr="000E259C">
        <w:rPr>
          <w:rFonts w:ascii="Times New Roman" w:eastAsiaTheme="minorEastAsia" w:hAnsi="Times New Roman" w:cs="Times New Roman"/>
          <w:sz w:val="21"/>
          <w:szCs w:val="21"/>
        </w:rPr>
        <w:t>100</w:t>
      </w:r>
      <w:r w:rsidRPr="000E259C">
        <w:rPr>
          <w:rFonts w:ascii="Times New Roman" w:eastAsiaTheme="minorEastAsia" w:hAnsi="Times New Roman" w:cs="Times New Roman"/>
          <w:sz w:val="21"/>
          <w:szCs w:val="21"/>
        </w:rPr>
        <w:t>名的中国高校。除清华和北大外，中国内地还有</w:t>
      </w:r>
      <w:r w:rsidRPr="000E259C">
        <w:rPr>
          <w:rFonts w:ascii="Times New Roman" w:eastAsiaTheme="minorEastAsia" w:hAnsi="Times New Roman" w:cs="Times New Roman"/>
          <w:sz w:val="21"/>
          <w:szCs w:val="21"/>
        </w:rPr>
        <w:t>5</w:t>
      </w:r>
      <w:r w:rsidRPr="000E259C">
        <w:rPr>
          <w:rFonts w:ascii="Times New Roman" w:eastAsiaTheme="minorEastAsia" w:hAnsi="Times New Roman" w:cs="Times New Roman"/>
          <w:sz w:val="21"/>
          <w:szCs w:val="21"/>
        </w:rPr>
        <w:t>所大学进入全球</w:t>
      </w:r>
      <w:r w:rsidRPr="000E259C">
        <w:rPr>
          <w:rFonts w:ascii="Times New Roman" w:eastAsiaTheme="minorEastAsia" w:hAnsi="Times New Roman" w:cs="Times New Roman"/>
          <w:sz w:val="21"/>
          <w:szCs w:val="21"/>
        </w:rPr>
        <w:t>200</w:t>
      </w:r>
      <w:r w:rsidRPr="000E259C">
        <w:rPr>
          <w:rFonts w:ascii="Times New Roman" w:eastAsiaTheme="minorEastAsia" w:hAnsi="Times New Roman" w:cs="Times New Roman"/>
          <w:sz w:val="21"/>
          <w:szCs w:val="21"/>
        </w:rPr>
        <w:t>强，分别是中国科学技术大学（</w:t>
      </w:r>
      <w:r w:rsidRPr="000E259C">
        <w:rPr>
          <w:rFonts w:ascii="Times New Roman" w:eastAsiaTheme="minorEastAsia" w:hAnsi="Times New Roman" w:cs="Times New Roman"/>
          <w:sz w:val="21"/>
          <w:szCs w:val="21"/>
        </w:rPr>
        <w:t>138</w:t>
      </w:r>
      <w:r w:rsidRPr="000E259C">
        <w:rPr>
          <w:rFonts w:ascii="Times New Roman" w:eastAsiaTheme="minorEastAsia" w:hAnsi="Times New Roman" w:cs="Times New Roman"/>
          <w:sz w:val="21"/>
          <w:szCs w:val="21"/>
        </w:rPr>
        <w:t>名）、上海交通大学（</w:t>
      </w:r>
      <w:r w:rsidRPr="000E259C">
        <w:rPr>
          <w:rFonts w:ascii="Times New Roman" w:eastAsiaTheme="minorEastAsia" w:hAnsi="Times New Roman" w:cs="Times New Roman"/>
          <w:sz w:val="21"/>
          <w:szCs w:val="21"/>
        </w:rPr>
        <w:t>145</w:t>
      </w:r>
      <w:r w:rsidRPr="000E259C">
        <w:rPr>
          <w:rFonts w:ascii="Times New Roman" w:eastAsiaTheme="minorEastAsia" w:hAnsi="Times New Roman" w:cs="Times New Roman"/>
          <w:sz w:val="21"/>
          <w:szCs w:val="21"/>
        </w:rPr>
        <w:t>名）、复旦大学（</w:t>
      </w:r>
      <w:r w:rsidRPr="000E259C">
        <w:rPr>
          <w:rFonts w:ascii="Times New Roman" w:eastAsiaTheme="minorEastAsia" w:hAnsi="Times New Roman" w:cs="Times New Roman"/>
          <w:sz w:val="21"/>
          <w:szCs w:val="21"/>
        </w:rPr>
        <w:t>159</w:t>
      </w:r>
      <w:r w:rsidRPr="000E259C">
        <w:rPr>
          <w:rFonts w:ascii="Times New Roman" w:eastAsiaTheme="minorEastAsia" w:hAnsi="Times New Roman" w:cs="Times New Roman"/>
          <w:sz w:val="21"/>
          <w:szCs w:val="21"/>
        </w:rPr>
        <w:t>名）、浙江大学（</w:t>
      </w:r>
      <w:r w:rsidRPr="000E259C">
        <w:rPr>
          <w:rFonts w:ascii="Times New Roman" w:eastAsiaTheme="minorEastAsia" w:hAnsi="Times New Roman" w:cs="Times New Roman"/>
          <w:sz w:val="21"/>
          <w:szCs w:val="21"/>
        </w:rPr>
        <w:t>165</w:t>
      </w:r>
      <w:r w:rsidRPr="000E259C">
        <w:rPr>
          <w:rFonts w:ascii="Times New Roman" w:eastAsiaTheme="minorEastAsia" w:hAnsi="Times New Roman" w:cs="Times New Roman"/>
          <w:sz w:val="21"/>
          <w:szCs w:val="21"/>
        </w:rPr>
        <w:t>名）、南京大学（</w:t>
      </w:r>
      <w:r w:rsidRPr="000E259C">
        <w:rPr>
          <w:rFonts w:ascii="Times New Roman" w:eastAsiaTheme="minorEastAsia" w:hAnsi="Times New Roman" w:cs="Times New Roman"/>
          <w:sz w:val="21"/>
          <w:szCs w:val="21"/>
        </w:rPr>
        <w:t>179</w:t>
      </w:r>
      <w:r w:rsidRPr="000E259C">
        <w:rPr>
          <w:rFonts w:ascii="Times New Roman" w:eastAsiaTheme="minorEastAsia" w:hAnsi="Times New Roman" w:cs="Times New Roman"/>
          <w:sz w:val="21"/>
          <w:szCs w:val="21"/>
        </w:rPr>
        <w:t>名）。其余排名靠前的高校还包括中山大学、华中科技大学、哈尔滨工业大学、武汉大学、同济大学、北京师范大学、厦门大学、东南大学、西安交通大学、南开大学、华南理工大学等。中国香港地区共有</w:t>
      </w:r>
      <w:r w:rsidRPr="000E259C">
        <w:rPr>
          <w:rFonts w:ascii="Times New Roman" w:eastAsiaTheme="minorEastAsia" w:hAnsi="Times New Roman" w:cs="Times New Roman"/>
          <w:sz w:val="21"/>
          <w:szCs w:val="21"/>
        </w:rPr>
        <w:t>7</w:t>
      </w:r>
      <w:r w:rsidRPr="000E259C">
        <w:rPr>
          <w:rFonts w:ascii="Times New Roman" w:eastAsiaTheme="minorEastAsia" w:hAnsi="Times New Roman" w:cs="Times New Roman"/>
          <w:sz w:val="21"/>
          <w:szCs w:val="21"/>
        </w:rPr>
        <w:t>所高校上榜，排名最高的是香港大学，居全球</w:t>
      </w:r>
      <w:r w:rsidRPr="000E259C">
        <w:rPr>
          <w:rFonts w:ascii="Times New Roman" w:eastAsiaTheme="minorEastAsia" w:hAnsi="Times New Roman" w:cs="Times New Roman"/>
          <w:sz w:val="21"/>
          <w:szCs w:val="21"/>
        </w:rPr>
        <w:t>103</w:t>
      </w:r>
      <w:r w:rsidRPr="000E259C">
        <w:rPr>
          <w:rFonts w:ascii="Times New Roman" w:eastAsiaTheme="minorEastAsia" w:hAnsi="Times New Roman" w:cs="Times New Roman"/>
          <w:sz w:val="21"/>
          <w:szCs w:val="21"/>
        </w:rPr>
        <w:t>位。中国澳门地区仅有澳门大学</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所高校上榜，位居全球</w:t>
      </w:r>
      <w:r w:rsidRPr="000E259C">
        <w:rPr>
          <w:rFonts w:ascii="Times New Roman" w:eastAsiaTheme="minorEastAsia" w:hAnsi="Times New Roman" w:cs="Times New Roman"/>
          <w:sz w:val="21"/>
          <w:szCs w:val="21"/>
        </w:rPr>
        <w:t>612</w:t>
      </w:r>
      <w:r w:rsidRPr="000E259C">
        <w:rPr>
          <w:rFonts w:ascii="Times New Roman" w:eastAsiaTheme="minorEastAsia" w:hAnsi="Times New Roman" w:cs="Times New Roman"/>
          <w:sz w:val="21"/>
          <w:szCs w:val="21"/>
        </w:rPr>
        <w:t>位。中国台湾地区共有</w:t>
      </w:r>
      <w:r w:rsidRPr="000E259C">
        <w:rPr>
          <w:rFonts w:ascii="Times New Roman" w:eastAsiaTheme="minorEastAsia" w:hAnsi="Times New Roman" w:cs="Times New Roman"/>
          <w:sz w:val="21"/>
          <w:szCs w:val="21"/>
        </w:rPr>
        <w:t>23</w:t>
      </w:r>
      <w:r w:rsidRPr="000E259C">
        <w:rPr>
          <w:rFonts w:ascii="Times New Roman" w:eastAsiaTheme="minorEastAsia" w:hAnsi="Times New Roman" w:cs="Times New Roman"/>
          <w:sz w:val="21"/>
          <w:szCs w:val="21"/>
        </w:rPr>
        <w:t>所高校上榜，其中排名最高的是台湾大学，排名全球</w:t>
      </w:r>
      <w:r w:rsidRPr="000E259C">
        <w:rPr>
          <w:rFonts w:ascii="Times New Roman" w:eastAsiaTheme="minorEastAsia" w:hAnsi="Times New Roman" w:cs="Times New Roman"/>
          <w:sz w:val="21"/>
          <w:szCs w:val="21"/>
        </w:rPr>
        <w:t>166</w:t>
      </w:r>
      <w:r w:rsidRPr="000E259C">
        <w:rPr>
          <w:rFonts w:ascii="Times New Roman" w:eastAsiaTheme="minorEastAsia" w:hAnsi="Times New Roman" w:cs="Times New Roman"/>
          <w:sz w:val="21"/>
          <w:szCs w:val="21"/>
        </w:rPr>
        <w:t>位。来源：《青塔网》（</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sz w:val="21"/>
          <w:szCs w:val="21"/>
        </w:rPr>
        <w:t>10</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sz w:val="21"/>
          <w:szCs w:val="21"/>
        </w:rPr>
        <w:t>30</w:t>
      </w:r>
      <w:r w:rsidRPr="000E259C">
        <w:rPr>
          <w:rFonts w:ascii="Times New Roman" w:eastAsiaTheme="minorEastAsia" w:hAnsi="Times New Roman" w:cs="Times New Roman"/>
          <w:sz w:val="21"/>
          <w:szCs w:val="21"/>
        </w:rPr>
        <w:t>日）</w:t>
      </w:r>
    </w:p>
    <w:p w:rsidR="003D13B2" w:rsidRPr="00616B7A" w:rsidRDefault="00616B7A" w:rsidP="008C5A90">
      <w:pPr>
        <w:spacing w:beforeLines="50" w:before="120" w:afterLines="0" w:line="324" w:lineRule="auto"/>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Pr="00525DF2">
        <w:rPr>
          <w:rFonts w:asciiTheme="minorEastAsia" w:eastAsiaTheme="minorEastAsia" w:hAnsiTheme="minorEastAsia"/>
          <w:b/>
          <w:bCs/>
          <w:sz w:val="24"/>
          <w:szCs w:val="24"/>
        </w:rPr>
        <w:t>北京：高校建“一流专业”</w:t>
      </w:r>
      <w:r w:rsidRPr="000E259C">
        <w:rPr>
          <w:rFonts w:ascii="Times New Roman" w:eastAsiaTheme="minorEastAsia" w:hAnsi="Times New Roman" w:cs="Times New Roman"/>
          <w:b/>
          <w:bCs/>
          <w:sz w:val="24"/>
          <w:szCs w:val="24"/>
        </w:rPr>
        <w:t>可获</w:t>
      </w:r>
      <w:r w:rsidRPr="000E259C">
        <w:rPr>
          <w:rFonts w:ascii="Times New Roman" w:eastAsiaTheme="minorEastAsia" w:hAnsi="Times New Roman" w:cs="Times New Roman"/>
          <w:b/>
          <w:bCs/>
          <w:sz w:val="24"/>
          <w:szCs w:val="24"/>
        </w:rPr>
        <w:t>3000</w:t>
      </w:r>
      <w:r w:rsidRPr="000E259C">
        <w:rPr>
          <w:rFonts w:ascii="Times New Roman" w:eastAsiaTheme="minorEastAsia" w:hAnsi="Times New Roman" w:cs="Times New Roman"/>
          <w:b/>
          <w:bCs/>
          <w:sz w:val="24"/>
          <w:szCs w:val="24"/>
        </w:rPr>
        <w:t>万元财政支持</w:t>
      </w:r>
      <w:r>
        <w:rPr>
          <w:rFonts w:asciiTheme="minorEastAsia" w:eastAsiaTheme="minorEastAsia" w:hAnsiTheme="minorEastAsia" w:hint="eastAsia"/>
          <w:b/>
          <w:bCs/>
          <w:sz w:val="24"/>
          <w:szCs w:val="24"/>
        </w:rPr>
        <w:t xml:space="preserve"> </w:t>
      </w:r>
      <w:r w:rsidRPr="00525DF2">
        <w:rPr>
          <w:rFonts w:asciiTheme="minorEastAsia" w:eastAsiaTheme="minorEastAsia" w:hAnsiTheme="minorEastAsia" w:hint="eastAsia"/>
          <w:sz w:val="21"/>
          <w:szCs w:val="21"/>
        </w:rPr>
        <w:t>近日，北京市财政局公布《北京高校“双一流”建设资金管理办法》。为推进北京高校的一流大学、一流学科建设，北京市设立高校“双一流”建设资金，高校“双一流”建设以</w:t>
      </w:r>
      <w:r w:rsidRPr="000E259C">
        <w:rPr>
          <w:rFonts w:ascii="Times New Roman" w:eastAsiaTheme="minorEastAsia" w:hAnsi="Times New Roman" w:cs="Times New Roman" w:hint="eastAsia"/>
          <w:sz w:val="21"/>
          <w:szCs w:val="21"/>
        </w:rPr>
        <w:t>5</w:t>
      </w:r>
      <w:r w:rsidRPr="00525DF2">
        <w:rPr>
          <w:rFonts w:asciiTheme="minorEastAsia" w:eastAsiaTheme="minorEastAsia" w:hAnsiTheme="minorEastAsia" w:hint="eastAsia"/>
          <w:sz w:val="21"/>
          <w:szCs w:val="21"/>
        </w:rPr>
        <w:t>年为一个建设周期，其中“一流专业”</w:t>
      </w:r>
      <w:r w:rsidRPr="000E259C">
        <w:rPr>
          <w:rFonts w:ascii="Times New Roman" w:eastAsiaTheme="minorEastAsia" w:hAnsi="Times New Roman" w:cs="Times New Roman"/>
          <w:sz w:val="21"/>
          <w:szCs w:val="21"/>
        </w:rPr>
        <w:t>在</w:t>
      </w:r>
      <w:r w:rsidRPr="000E259C">
        <w:rPr>
          <w:rFonts w:ascii="Times New Roman" w:eastAsiaTheme="minorEastAsia" w:hAnsi="Times New Roman" w:cs="Times New Roman"/>
          <w:sz w:val="21"/>
          <w:szCs w:val="21"/>
        </w:rPr>
        <w:t>5</w:t>
      </w:r>
      <w:r w:rsidRPr="000E259C">
        <w:rPr>
          <w:rFonts w:ascii="Times New Roman" w:eastAsiaTheme="minorEastAsia" w:hAnsi="Times New Roman" w:cs="Times New Roman"/>
          <w:sz w:val="21"/>
          <w:szCs w:val="21"/>
        </w:rPr>
        <w:t>年</w:t>
      </w:r>
      <w:r w:rsidRPr="00525DF2">
        <w:rPr>
          <w:rFonts w:asciiTheme="minorEastAsia" w:eastAsiaTheme="minorEastAsia" w:hAnsiTheme="minorEastAsia" w:hint="eastAsia"/>
          <w:sz w:val="21"/>
          <w:szCs w:val="21"/>
        </w:rPr>
        <w:t>建设周期内，每个专业最高可获</w:t>
      </w:r>
      <w:r w:rsidRPr="000E259C">
        <w:rPr>
          <w:rFonts w:ascii="Times New Roman" w:eastAsiaTheme="minorEastAsia" w:hAnsi="Times New Roman" w:cs="Times New Roman"/>
          <w:sz w:val="21"/>
          <w:szCs w:val="21"/>
        </w:rPr>
        <w:t>3000</w:t>
      </w:r>
      <w:r w:rsidRPr="00525DF2">
        <w:rPr>
          <w:rFonts w:asciiTheme="minorEastAsia" w:eastAsiaTheme="minorEastAsia" w:hAnsiTheme="minorEastAsia" w:hint="eastAsia"/>
          <w:sz w:val="21"/>
          <w:szCs w:val="21"/>
        </w:rPr>
        <w:t>万元支持，“高精尖”学科最高则将获得</w:t>
      </w:r>
      <w:r w:rsidRPr="000E259C">
        <w:rPr>
          <w:rFonts w:ascii="Times New Roman" w:eastAsiaTheme="minorEastAsia" w:hAnsi="Times New Roman" w:cs="Times New Roman" w:hint="eastAsia"/>
          <w:sz w:val="21"/>
          <w:szCs w:val="21"/>
        </w:rPr>
        <w:t>5000</w:t>
      </w:r>
      <w:r w:rsidRPr="00525DF2">
        <w:rPr>
          <w:rFonts w:asciiTheme="minorEastAsia" w:eastAsiaTheme="minorEastAsia" w:hAnsiTheme="minorEastAsia" w:hint="eastAsia"/>
          <w:sz w:val="21"/>
          <w:szCs w:val="21"/>
        </w:rPr>
        <w:t>万元的财政支持。按照管理办法，高校“双一流”建设以</w:t>
      </w:r>
      <w:r w:rsidRPr="000E259C">
        <w:rPr>
          <w:rFonts w:ascii="Times New Roman" w:eastAsiaTheme="minorEastAsia" w:hAnsi="Times New Roman" w:cs="Times New Roman" w:hint="eastAsia"/>
          <w:sz w:val="21"/>
          <w:szCs w:val="21"/>
        </w:rPr>
        <w:t>5</w:t>
      </w:r>
      <w:r w:rsidRPr="00525DF2">
        <w:rPr>
          <w:rFonts w:asciiTheme="minorEastAsia" w:eastAsiaTheme="minorEastAsia" w:hAnsiTheme="minorEastAsia" w:hint="eastAsia"/>
          <w:sz w:val="21"/>
          <w:szCs w:val="21"/>
        </w:rPr>
        <w:t>年为一个建设周期，实行总额控制、分年申报，重点支持以下四类项目：</w:t>
      </w:r>
      <w:r w:rsidRPr="000E259C">
        <w:rPr>
          <w:rFonts w:ascii="Times New Roman" w:eastAsiaTheme="minorEastAsia" w:hAnsi="Times New Roman" w:cs="Times New Roman" w:hint="eastAsia"/>
          <w:sz w:val="21"/>
          <w:szCs w:val="21"/>
        </w:rPr>
        <w:t>1.</w:t>
      </w:r>
      <w:r w:rsidRPr="00525DF2">
        <w:rPr>
          <w:rFonts w:asciiTheme="minorEastAsia" w:eastAsiaTheme="minorEastAsia" w:hAnsiTheme="minorEastAsia" w:hint="eastAsia"/>
          <w:sz w:val="21"/>
          <w:szCs w:val="21"/>
        </w:rPr>
        <w:t>北京高校“一流专业”建设；</w:t>
      </w:r>
      <w:r w:rsidRPr="000E259C">
        <w:rPr>
          <w:rFonts w:ascii="Times New Roman" w:eastAsiaTheme="minorEastAsia" w:hAnsi="Times New Roman" w:cs="Times New Roman" w:hint="eastAsia"/>
          <w:sz w:val="21"/>
          <w:szCs w:val="21"/>
        </w:rPr>
        <w:t>2.</w:t>
      </w:r>
      <w:r w:rsidRPr="00525DF2">
        <w:rPr>
          <w:rFonts w:asciiTheme="minorEastAsia" w:eastAsiaTheme="minorEastAsia" w:hAnsiTheme="minorEastAsia" w:hint="eastAsia"/>
          <w:sz w:val="21"/>
          <w:szCs w:val="21"/>
        </w:rPr>
        <w:t>北京高校“高精尖”学科建设；</w:t>
      </w:r>
      <w:r w:rsidRPr="000E259C">
        <w:rPr>
          <w:rFonts w:ascii="Times New Roman" w:eastAsiaTheme="minorEastAsia" w:hAnsi="Times New Roman" w:cs="Times New Roman" w:hint="eastAsia"/>
          <w:sz w:val="21"/>
          <w:szCs w:val="21"/>
        </w:rPr>
        <w:t>3.</w:t>
      </w:r>
      <w:r w:rsidRPr="00525DF2">
        <w:rPr>
          <w:rFonts w:asciiTheme="minorEastAsia" w:eastAsiaTheme="minorEastAsia" w:hAnsiTheme="minorEastAsia" w:hint="eastAsia"/>
          <w:sz w:val="21"/>
          <w:szCs w:val="21"/>
        </w:rPr>
        <w:t>市属高校国家一流学科建设；</w:t>
      </w:r>
      <w:r w:rsidRPr="000E259C">
        <w:rPr>
          <w:rFonts w:ascii="Times New Roman" w:eastAsiaTheme="minorEastAsia" w:hAnsi="Times New Roman" w:cs="Times New Roman" w:hint="eastAsia"/>
          <w:sz w:val="21"/>
          <w:szCs w:val="21"/>
        </w:rPr>
        <w:t>4.</w:t>
      </w:r>
      <w:r w:rsidRPr="000E259C">
        <w:rPr>
          <w:rFonts w:ascii="Times New Roman" w:eastAsiaTheme="minorEastAsia" w:hAnsi="Times New Roman" w:cs="Times New Roman" w:hint="eastAsia"/>
          <w:sz w:val="21"/>
          <w:szCs w:val="21"/>
        </w:rPr>
        <w:t>央</w:t>
      </w:r>
      <w:r w:rsidRPr="00525DF2">
        <w:rPr>
          <w:rFonts w:asciiTheme="minorEastAsia" w:eastAsiaTheme="minorEastAsia" w:hAnsiTheme="minorEastAsia" w:hint="eastAsia"/>
          <w:sz w:val="21"/>
          <w:szCs w:val="21"/>
        </w:rPr>
        <w:t>属高校国家“双一流”建设。其中，北京高校“一流专业”建设采取项目管理方式，在建设周期内将按照每个专业最高</w:t>
      </w:r>
      <w:r w:rsidRPr="000E259C">
        <w:rPr>
          <w:rFonts w:ascii="Times New Roman" w:eastAsiaTheme="minorEastAsia" w:hAnsi="Times New Roman" w:cs="Times New Roman" w:hint="eastAsia"/>
          <w:sz w:val="21"/>
          <w:szCs w:val="21"/>
        </w:rPr>
        <w:t>3000</w:t>
      </w:r>
      <w:r w:rsidRPr="000E259C">
        <w:rPr>
          <w:rFonts w:ascii="Times New Roman" w:eastAsiaTheme="minorEastAsia" w:hAnsi="Times New Roman" w:cs="Times New Roman" w:hint="eastAsia"/>
          <w:sz w:val="21"/>
          <w:szCs w:val="21"/>
        </w:rPr>
        <w:t>万</w:t>
      </w:r>
      <w:r w:rsidRPr="00525DF2">
        <w:rPr>
          <w:rFonts w:asciiTheme="minorEastAsia" w:eastAsiaTheme="minorEastAsia" w:hAnsiTheme="minorEastAsia" w:hint="eastAsia"/>
          <w:sz w:val="21"/>
          <w:szCs w:val="21"/>
        </w:rPr>
        <w:t>元的总额予以支持，经费管理将参照《北京市教育财政科研类项目经费管理办法》执行，要求不得提取间接费用；北京高校“高精尖”学科建设，也同样采取项目管理方式，在建设周期内按照每个学科最高</w:t>
      </w:r>
      <w:r w:rsidRPr="000E259C">
        <w:rPr>
          <w:rFonts w:ascii="Times New Roman" w:eastAsiaTheme="minorEastAsia" w:hAnsi="Times New Roman" w:cs="Times New Roman" w:hint="eastAsia"/>
          <w:sz w:val="21"/>
          <w:szCs w:val="21"/>
        </w:rPr>
        <w:t>5000</w:t>
      </w:r>
      <w:r w:rsidRPr="00525DF2">
        <w:rPr>
          <w:rFonts w:asciiTheme="minorEastAsia" w:eastAsiaTheme="minorEastAsia" w:hAnsiTheme="minorEastAsia" w:hint="eastAsia"/>
          <w:sz w:val="21"/>
          <w:szCs w:val="21"/>
        </w:rPr>
        <w:t>万元的总额予以支持。市属高校国家一流学科建设，则将根据学校已公布的建设方案按需予以资金保障，经费管理将按照《中央高校建设世界一流大学（学科）和特色发展引导专项资金管理办法》执行；国家“双一流”建设央属高校，将按照对北京“四个中心”功能建设和北京经济社会发展的贡献程度，采用因素法给予补助资金。北京市财政局要求，高校双一流的“建设资金”，不得用于偿还贷款、支付罚款、捐款捐赠、赞助支出、对外投资等支出；也不得用于房屋建筑物、基础建设支出；不得作为其他项目的配套资金以及国家规定不得列入的其他开支。市财政局，将对北京高校“双一流”建设项目实行动态管理，依据绩效评估和考核结果，来调整资金分配。</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北京青年报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10</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30</w:t>
      </w:r>
      <w:r>
        <w:rPr>
          <w:rFonts w:ascii="Times New Roman" w:eastAsiaTheme="minorEastAsia" w:hAnsi="Times New Roman" w:cs="Times New Roman"/>
          <w:sz w:val="21"/>
          <w:szCs w:val="21"/>
        </w:rPr>
        <w:t>日）</w:t>
      </w:r>
    </w:p>
    <w:p w:rsidR="003D13B2" w:rsidRPr="00105401" w:rsidRDefault="003D13B2" w:rsidP="008C5A90">
      <w:pPr>
        <w:spacing w:beforeLines="50" w:before="120" w:afterLines="0" w:line="324" w:lineRule="auto"/>
        <w:rPr>
          <w:rFonts w:asciiTheme="minorEastAsia" w:eastAsiaTheme="minorEastAsia" w:hAnsiTheme="minorEastAsia"/>
          <w:sz w:val="21"/>
          <w:szCs w:val="21"/>
        </w:rPr>
      </w:pPr>
      <w:r>
        <w:rPr>
          <w:rFonts w:asciiTheme="minorEastAsia" w:eastAsiaTheme="minorEastAsia" w:hAnsiTheme="minorEastAsia" w:hint="eastAsia"/>
          <w:b/>
          <w:sz w:val="24"/>
          <w:szCs w:val="24"/>
        </w:rPr>
        <w:lastRenderedPageBreak/>
        <w:t>▲</w:t>
      </w:r>
      <w:r w:rsidR="00525DF2" w:rsidRPr="00525DF2">
        <w:rPr>
          <w:rFonts w:asciiTheme="minorEastAsia" w:eastAsiaTheme="minorEastAsia" w:hAnsiTheme="minorEastAsia" w:hint="eastAsia"/>
          <w:b/>
          <w:bCs/>
          <w:sz w:val="24"/>
          <w:szCs w:val="24"/>
        </w:rPr>
        <w:t>山东：成立高教专家咨询委员会</w:t>
      </w:r>
      <w:r w:rsidR="00525DF2">
        <w:rPr>
          <w:rFonts w:asciiTheme="minorEastAsia" w:eastAsiaTheme="minorEastAsia" w:hAnsiTheme="minorEastAsia" w:hint="eastAsia"/>
          <w:b/>
          <w:bCs/>
          <w:sz w:val="24"/>
          <w:szCs w:val="24"/>
        </w:rPr>
        <w:t xml:space="preserve"> </w:t>
      </w:r>
      <w:r w:rsidR="00525DF2" w:rsidRPr="00525DF2">
        <w:rPr>
          <w:rFonts w:asciiTheme="minorEastAsia" w:eastAsiaTheme="minorEastAsia" w:hAnsiTheme="minorEastAsia" w:hint="eastAsia"/>
          <w:sz w:val="21"/>
          <w:szCs w:val="21"/>
        </w:rPr>
        <w:t>近日，山东省成立高等教育专家咨询委员会，充分发挥国内外高层次专家学者对高等教育领域重大问题的研究、咨询和指导作用，服务高等教育改革发展决策，推动高等教育高质量发展。委员会由山东省政府聘请的专家组成，是面向山东高等教育改革发展的非常设咨询机构，接受省政府及其教育职能部门委托，对国内外高等教育发展趋势进行分析研判，对山东高等教育发展规划等提出意见和建议；就山东高等教育改革发展中的热点、难点、堵点等重大问题进行研讨，提出有针对性的解决措施及建议；对山东高等教育领域重大政策、重大改革事项等提供战略咨询服务及评议论证。据介绍，委员会每年至少举行一次会议，由主任委员或副主任委员负责召集，针对山东高等教育改革发展情况提出意见和建议；必要时可以就咨询评议的问题，召集部分熟悉议题情况的委员，进行个别咨询。</w:t>
      </w:r>
      <w:r>
        <w:rPr>
          <w:rFonts w:asciiTheme="minorEastAsia" w:eastAsiaTheme="minorEastAsia" w:hAnsiTheme="minorEastAsia" w:hint="eastAsia"/>
          <w:sz w:val="21"/>
          <w:szCs w:val="21"/>
        </w:rPr>
        <w:t>来源：《</w:t>
      </w:r>
      <w:r w:rsidR="00105401">
        <w:rPr>
          <w:rFonts w:asciiTheme="minorEastAsia" w:eastAsiaTheme="minorEastAsia" w:hAnsiTheme="minorEastAsia" w:hint="eastAsia"/>
          <w:sz w:val="21"/>
          <w:szCs w:val="21"/>
        </w:rPr>
        <w:t>中国教育报</w:t>
      </w:r>
      <w:r>
        <w:rPr>
          <w:rFonts w:asciiTheme="minorEastAsia" w:eastAsiaTheme="minorEastAsia" w:hAnsiTheme="minorEastAsia"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525DF2">
        <w:rPr>
          <w:rFonts w:ascii="Times New Roman" w:eastAsiaTheme="minorEastAsia" w:hAnsi="Times New Roman" w:cs="Times New Roman" w:hint="eastAsia"/>
          <w:sz w:val="21"/>
          <w:szCs w:val="21"/>
        </w:rPr>
        <w:t>10</w:t>
      </w:r>
      <w:r>
        <w:rPr>
          <w:rFonts w:ascii="Times New Roman" w:eastAsiaTheme="minorEastAsia" w:hAnsi="Times New Roman" w:cs="Times New Roman"/>
          <w:sz w:val="21"/>
          <w:szCs w:val="21"/>
        </w:rPr>
        <w:t>月</w:t>
      </w:r>
      <w:r w:rsidR="00525DF2">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日）</w:t>
      </w:r>
    </w:p>
    <w:p w:rsidR="003D13B2" w:rsidRPr="000E259C" w:rsidRDefault="003D13B2" w:rsidP="008C5A90">
      <w:pPr>
        <w:spacing w:beforeLines="50" w:before="120" w:afterLines="0" w:line="324" w:lineRule="auto"/>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525DF2" w:rsidRPr="00525DF2">
        <w:rPr>
          <w:rFonts w:asciiTheme="minorEastAsia" w:eastAsiaTheme="minorEastAsia" w:hAnsiTheme="minorEastAsia" w:hint="eastAsia"/>
          <w:b/>
          <w:bCs/>
          <w:sz w:val="24"/>
          <w:szCs w:val="24"/>
        </w:rPr>
        <w:t>江西打破高校岗位聘用“终身制”</w:t>
      </w:r>
      <w:r w:rsidR="00D236F1" w:rsidRPr="00D236F1">
        <w:rPr>
          <w:rFonts w:asciiTheme="minorEastAsia" w:eastAsiaTheme="minorEastAsia" w:hAnsiTheme="minorEastAsia" w:hint="eastAsia"/>
          <w:sz w:val="21"/>
          <w:szCs w:val="21"/>
        </w:rPr>
        <w:t xml:space="preserve">　</w:t>
      </w:r>
      <w:r w:rsidR="00525DF2" w:rsidRPr="00525DF2">
        <w:rPr>
          <w:rFonts w:asciiTheme="minorEastAsia" w:eastAsiaTheme="minorEastAsia" w:hAnsiTheme="minorEastAsia" w:hint="eastAsia"/>
          <w:sz w:val="21"/>
          <w:szCs w:val="21"/>
        </w:rPr>
        <w:t>近日，</w:t>
      </w:r>
      <w:r w:rsidR="005543D3">
        <w:rPr>
          <w:rFonts w:asciiTheme="minorEastAsia" w:eastAsiaTheme="minorEastAsia" w:hAnsiTheme="minorEastAsia" w:hint="eastAsia"/>
          <w:sz w:val="21"/>
          <w:szCs w:val="21"/>
        </w:rPr>
        <w:t>江西省人社厅</w:t>
      </w:r>
      <w:r w:rsidR="00525DF2" w:rsidRPr="00525DF2">
        <w:rPr>
          <w:rFonts w:asciiTheme="minorEastAsia" w:eastAsiaTheme="minorEastAsia" w:hAnsiTheme="minorEastAsia" w:hint="eastAsia"/>
          <w:sz w:val="21"/>
          <w:szCs w:val="21"/>
        </w:rPr>
        <w:t>公布了《关于在全省高校建立岗位动态管理机制的指导意见》，这是全国首个省级层面出台专门针对高校岗位动态管理工作的指导性文件。此举旨在打破岗位聘用“终身制”，在全省高校全面建立“岗位能上能下、人员能进能出、待遇能高能低”的岗位动态管理机制。</w:t>
      </w:r>
      <w:r w:rsidR="005543D3" w:rsidRPr="005543D3">
        <w:rPr>
          <w:rFonts w:asciiTheme="minorEastAsia" w:eastAsiaTheme="minorEastAsia" w:hAnsiTheme="minorEastAsia"/>
          <w:sz w:val="21"/>
          <w:szCs w:val="21"/>
        </w:rPr>
        <w:t>其中提出，高校需定期组织开展聘期考核工作，聘期考核不合格者，高校应予以低聘、转岗或解聘，对于持</w:t>
      </w:r>
      <w:r w:rsidR="005543D3" w:rsidRPr="000E259C">
        <w:rPr>
          <w:rFonts w:ascii="Times New Roman" w:eastAsiaTheme="minorEastAsia" w:hAnsi="Times New Roman" w:cs="Times New Roman"/>
          <w:sz w:val="21"/>
          <w:szCs w:val="21"/>
        </w:rPr>
        <w:t>3</w:t>
      </w:r>
      <w:r w:rsidR="005543D3" w:rsidRPr="005543D3">
        <w:rPr>
          <w:rFonts w:asciiTheme="minorEastAsia" w:eastAsiaTheme="minorEastAsia" w:hAnsiTheme="minorEastAsia"/>
          <w:sz w:val="21"/>
          <w:szCs w:val="21"/>
        </w:rPr>
        <w:t>年以上中长期合同或持聘用至退休的长期合同的人员，高校也需定期开展评估考核，考核结果作为岗位和工资待遇调整的依据。在岗位设置方面，江西提出，高校可在教师岗位中设置教学为主型、教学科研型和科研为主型等类型的岗位。在核准的专业技术岗位总量和结构比例内，可以自主设置主系列岗位、辅系列岗位的数量和结构比例，其中主系列岗位比例一般不低于专业技术岗位总量的80%，辅系列岗位等级的设置应低于主系列岗位等级的设置。此外，江西将逐步减少高校工勤技能岗位数量，已经实现社会化服务的一般性劳务工作，不再设置相应的工勤技能岗位。除接收政策性安置人员外，高校工勤技能岗位人员原则上只减不增。</w:t>
      </w:r>
      <w:r>
        <w:rPr>
          <w:rFonts w:asciiTheme="minorEastAsia" w:eastAsiaTheme="minorEastAsia" w:hAnsiTheme="minorEastAsia" w:hint="eastAsia"/>
          <w:sz w:val="21"/>
          <w:szCs w:val="21"/>
        </w:rPr>
        <w:t>来源：《</w:t>
      </w:r>
      <w:r w:rsidR="005543D3">
        <w:rPr>
          <w:rFonts w:asciiTheme="minorEastAsia" w:eastAsiaTheme="minorEastAsia" w:hAnsiTheme="minorEastAsia" w:hint="eastAsia"/>
          <w:sz w:val="21"/>
          <w:szCs w:val="21"/>
        </w:rPr>
        <w:t>新华网</w:t>
      </w:r>
      <w:r>
        <w:rPr>
          <w:rFonts w:asciiTheme="minorEastAsia" w:eastAsiaTheme="minorEastAsia" w:hAnsiTheme="minorEastAsia" w:hint="eastAsia"/>
          <w:sz w:val="21"/>
          <w:szCs w:val="21"/>
        </w:rPr>
        <w:t>》</w:t>
      </w:r>
      <w:r w:rsidRPr="000E259C">
        <w:rPr>
          <w:rFonts w:ascii="Times New Roman" w:eastAsiaTheme="minorEastAsia" w:hAnsi="Times New Roman" w:cs="Times New Roman" w:hint="eastAsia"/>
          <w:sz w:val="21"/>
          <w:szCs w:val="21"/>
        </w:rPr>
        <w:t>（</w:t>
      </w:r>
      <w:r w:rsidRPr="000E259C">
        <w:rPr>
          <w:rFonts w:ascii="Times New Roman" w:eastAsiaTheme="minorEastAsia" w:hAnsi="Times New Roman" w:cs="Times New Roman" w:hint="eastAsia"/>
          <w:sz w:val="21"/>
          <w:szCs w:val="21"/>
        </w:rPr>
        <w:t>2018</w:t>
      </w:r>
      <w:r w:rsidRPr="000E259C">
        <w:rPr>
          <w:rFonts w:ascii="Times New Roman" w:eastAsiaTheme="minorEastAsia" w:hAnsi="Times New Roman" w:cs="Times New Roman" w:hint="eastAsia"/>
          <w:sz w:val="21"/>
          <w:szCs w:val="21"/>
        </w:rPr>
        <w:t>年</w:t>
      </w:r>
      <w:r w:rsidR="00525DF2"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hint="eastAsia"/>
          <w:sz w:val="21"/>
          <w:szCs w:val="21"/>
        </w:rPr>
        <w:t>月</w:t>
      </w:r>
      <w:r w:rsidR="00525DF2" w:rsidRPr="000E259C">
        <w:rPr>
          <w:rFonts w:ascii="Times New Roman" w:eastAsiaTheme="minorEastAsia" w:hAnsi="Times New Roman" w:cs="Times New Roman" w:hint="eastAsia"/>
          <w:sz w:val="21"/>
          <w:szCs w:val="21"/>
        </w:rPr>
        <w:t>1</w:t>
      </w:r>
      <w:r w:rsidR="005543D3" w:rsidRPr="000E259C">
        <w:rPr>
          <w:rFonts w:ascii="Times New Roman" w:eastAsiaTheme="minorEastAsia" w:hAnsi="Times New Roman" w:cs="Times New Roman" w:hint="eastAsia"/>
          <w:sz w:val="21"/>
          <w:szCs w:val="21"/>
        </w:rPr>
        <w:t>0</w:t>
      </w:r>
      <w:r w:rsidRPr="000E259C">
        <w:rPr>
          <w:rFonts w:ascii="Times New Roman" w:eastAsiaTheme="minorEastAsia" w:hAnsi="Times New Roman" w:cs="Times New Roman" w:hint="eastAsia"/>
          <w:sz w:val="21"/>
          <w:szCs w:val="21"/>
        </w:rPr>
        <w:t>日）</w:t>
      </w:r>
    </w:p>
    <w:p w:rsidR="007E2921" w:rsidRPr="00525DF2" w:rsidRDefault="00AF5955" w:rsidP="008C5A90">
      <w:pPr>
        <w:spacing w:beforeLines="50" w:before="120" w:afterLines="0" w:line="324" w:lineRule="auto"/>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525DF2" w:rsidRPr="00525DF2">
        <w:rPr>
          <w:rFonts w:asciiTheme="minorEastAsia" w:eastAsiaTheme="minorEastAsia" w:hAnsiTheme="minorEastAsia"/>
          <w:b/>
          <w:bCs/>
          <w:sz w:val="24"/>
          <w:szCs w:val="24"/>
        </w:rPr>
        <w:t>湖南省多措并举构建大学生创新创业新生态</w:t>
      </w:r>
      <w:r w:rsidR="00525DF2">
        <w:rPr>
          <w:rFonts w:asciiTheme="minorEastAsia" w:eastAsiaTheme="minorEastAsia" w:hAnsiTheme="minorEastAsia" w:hint="eastAsia"/>
          <w:b/>
          <w:bCs/>
          <w:sz w:val="24"/>
          <w:szCs w:val="24"/>
        </w:rPr>
        <w:t xml:space="preserve"> </w:t>
      </w:r>
      <w:r w:rsidR="00525DF2" w:rsidRPr="00525DF2">
        <w:rPr>
          <w:rFonts w:asciiTheme="minorEastAsia" w:eastAsiaTheme="minorEastAsia" w:hAnsiTheme="minorEastAsia" w:hint="eastAsia"/>
          <w:sz w:val="21"/>
          <w:szCs w:val="21"/>
        </w:rPr>
        <w:t>近日，湖南省积极落实“大众创业，万众创新”国家战略，通过完善工作机制、推进教育改革、搭建孵化平台和构建服务体系，努力构建大学生创新创业新生态，一大批大学生创业项目走向社会，有力带动就业，促进经济社会发展。（一）完善创新创业工作机制，厚植“双创”土壤。建立高校就业创业“一把手工程”督查机制和高校创新创业孵化示范基地评选机制，设立高校创新创业孵化示范基地建设标准，完善应届毕业生求职创业补贴发放工作机制，建立高校毕业生就业质量年度报告发布、全省创新创业优秀毕业生评选等制度，全方位保障创新创业工作顺利开展。（二）推进创新创业教育改革，播撒“双创”种子。加强创新创业教育，指导高校修订人才培养方案，完善创新创业教育课程体系，开展教学改革，实施弹性学制，建立健全学分积累与转换制度，建立校地、校校、校企以及国际合作协调育人新机制。（三）搭建创新创业孵化平台，培育“双创”苗圃。出台关于加强高校大学生创新创业孵化基地建设的指导意见，组建省大学生创新创业孵化基地联盟。加大资金扶持力度，筹集资金</w:t>
      </w:r>
      <w:r w:rsidR="00525DF2" w:rsidRPr="000E259C">
        <w:rPr>
          <w:rFonts w:ascii="Times New Roman" w:eastAsiaTheme="minorEastAsia" w:hAnsi="Times New Roman" w:cs="Times New Roman" w:hint="eastAsia"/>
          <w:sz w:val="21"/>
          <w:szCs w:val="21"/>
        </w:rPr>
        <w:t>2000</w:t>
      </w:r>
      <w:r w:rsidR="00525DF2" w:rsidRPr="000E259C">
        <w:rPr>
          <w:rFonts w:ascii="Times New Roman" w:eastAsiaTheme="minorEastAsia" w:hAnsi="Times New Roman" w:cs="Times New Roman" w:hint="eastAsia"/>
          <w:sz w:val="21"/>
          <w:szCs w:val="21"/>
        </w:rPr>
        <w:t>万</w:t>
      </w:r>
      <w:r w:rsidR="00525DF2" w:rsidRPr="00525DF2">
        <w:rPr>
          <w:rFonts w:asciiTheme="minorEastAsia" w:eastAsiaTheme="minorEastAsia" w:hAnsiTheme="minorEastAsia" w:hint="eastAsia"/>
          <w:sz w:val="21"/>
          <w:szCs w:val="21"/>
        </w:rPr>
        <w:t>元，成立省大学生就创业基金会，并引导各地各高校相继设立创新创业扶持资金，扶持大学生创新创业。（四）构建创新创业服务体系，提升“双创”成果。加强项目对接服务，挖掘优质创业项目入驻各级孵化基地，有针对性地帮助孵化成长。通过开设专门窗口、安排专人等方式，指导和帮助创业项目申报创业扶持资金。设立“湖南青年大学生创业专板”，为创业项目对接区域股权市场、扩大融资提供便利。</w:t>
      </w:r>
      <w:r w:rsidRPr="00525DF2">
        <w:rPr>
          <w:rFonts w:asciiTheme="minorEastAsia" w:eastAsiaTheme="minorEastAsia" w:hAnsiTheme="minorEastAsia" w:cs="Times New Roman"/>
          <w:sz w:val="21"/>
          <w:szCs w:val="21"/>
        </w:rPr>
        <w:t>来源：《</w:t>
      </w:r>
      <w:r w:rsidR="00525DF2">
        <w:rPr>
          <w:rFonts w:asciiTheme="minorEastAsia" w:eastAsiaTheme="minorEastAsia" w:hAnsiTheme="minorEastAsia" w:cs="Times New Roman" w:hint="eastAsia"/>
          <w:sz w:val="21"/>
          <w:szCs w:val="21"/>
        </w:rPr>
        <w:t>教育部网站</w:t>
      </w:r>
      <w:r w:rsidRPr="00525DF2">
        <w:rPr>
          <w:rFonts w:asciiTheme="minorEastAsia" w:eastAsiaTheme="minorEastAsia" w:hAnsiTheme="minorEastAsia" w:cs="Times New Roman"/>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00525DF2"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00525DF2" w:rsidRPr="000E259C">
        <w:rPr>
          <w:rFonts w:ascii="Times New Roman" w:eastAsiaTheme="minorEastAsia" w:hAnsi="Times New Roman" w:cs="Times New Roman" w:hint="eastAsia"/>
          <w:sz w:val="21"/>
          <w:szCs w:val="21"/>
        </w:rPr>
        <w:t>9</w:t>
      </w:r>
      <w:r w:rsidRPr="00525DF2">
        <w:rPr>
          <w:rFonts w:asciiTheme="minorEastAsia" w:eastAsiaTheme="minorEastAsia" w:hAnsiTheme="minorEastAsia" w:cs="Times New Roman"/>
          <w:sz w:val="21"/>
          <w:szCs w:val="21"/>
        </w:rPr>
        <w:t>日）</w:t>
      </w:r>
    </w:p>
    <w:p w:rsidR="00036F8B" w:rsidRPr="000E259C" w:rsidRDefault="00AF5955" w:rsidP="008C5A90">
      <w:pPr>
        <w:pStyle w:val="a6"/>
        <w:spacing w:beforeLines="50" w:before="120" w:beforeAutospacing="0" w:afterLines="0" w:afterAutospacing="0" w:line="324" w:lineRule="auto"/>
        <w:rPr>
          <w:rFonts w:ascii="Times New Roman" w:eastAsiaTheme="minorEastAsia" w:hAnsi="Times New Roman" w:cs="Times New Roman"/>
          <w:sz w:val="21"/>
          <w:szCs w:val="21"/>
        </w:rPr>
      </w:pPr>
      <w:r w:rsidRPr="00CE5B70">
        <w:rPr>
          <w:rFonts w:asciiTheme="minorEastAsia" w:eastAsiaTheme="minorEastAsia" w:hAnsiTheme="minorEastAsia" w:cstheme="minorBidi" w:hint="eastAsia"/>
          <w:b/>
          <w:bCs/>
        </w:rPr>
        <w:lastRenderedPageBreak/>
        <w:t>▲</w:t>
      </w:r>
      <w:r w:rsidR="00525DF2" w:rsidRPr="00525DF2">
        <w:rPr>
          <w:rFonts w:asciiTheme="minorEastAsia" w:eastAsiaTheme="minorEastAsia" w:hAnsiTheme="minorEastAsia" w:cstheme="minorBidi" w:hint="eastAsia"/>
          <w:b/>
          <w:bCs/>
        </w:rPr>
        <w:t>湖北省成立南亚大学联盟 多所高校之间将加大领域合作</w:t>
      </w:r>
      <w:r w:rsidR="00525DF2">
        <w:rPr>
          <w:rFonts w:asciiTheme="minorEastAsia" w:eastAsiaTheme="minorEastAsia" w:hAnsiTheme="minorEastAsia" w:cstheme="minorBidi" w:hint="eastAsia"/>
          <w:b/>
          <w:bCs/>
        </w:rPr>
        <w:t xml:space="preserve"> </w:t>
      </w:r>
      <w:r w:rsidR="00525DF2">
        <w:rPr>
          <w:rFonts w:asciiTheme="minorEastAsia" w:eastAsiaTheme="minorEastAsia" w:hAnsiTheme="minorEastAsia" w:hint="eastAsia"/>
          <w:sz w:val="21"/>
          <w:szCs w:val="21"/>
        </w:rPr>
        <w:t>近日</w:t>
      </w:r>
      <w:r w:rsidR="00525DF2" w:rsidRPr="00525DF2">
        <w:rPr>
          <w:rFonts w:asciiTheme="minorEastAsia" w:eastAsiaTheme="minorEastAsia" w:hAnsiTheme="minorEastAsia" w:hint="eastAsia"/>
          <w:sz w:val="21"/>
          <w:szCs w:val="21"/>
        </w:rPr>
        <w:t>，“中国湖北—南亚高校校长论坛”在武汉举行，来自印度、巴基斯坦、尼泊尔、斯里兰卡、孟加拉五个国家的十所高校校长、湖北省部分高校负责人、中国社会科学院和复旦大学等机构的研究南亚问题专家代表，就教育合作展开友好交流。经协商，与会高校同意成立“中国湖北-南亚大学联盟”。论坛期间，湖北大学、三峡大学、湖北工业大学分别与孟加拉国莫拉那帕夏尼科技大学、印度金德尔全球大学、尼泊尔特里布文大学等南亚高校签署了项目合作协议，明确了下一步合作方向。近年来，湖北高校与南亚高校交流活跃，合作成果丰硕。截至</w:t>
      </w:r>
      <w:r w:rsidR="00525DF2" w:rsidRPr="000E259C">
        <w:rPr>
          <w:rFonts w:ascii="Times New Roman" w:eastAsiaTheme="minorEastAsia" w:hAnsi="Times New Roman" w:cs="Times New Roman" w:hint="eastAsia"/>
          <w:sz w:val="21"/>
          <w:szCs w:val="21"/>
        </w:rPr>
        <w:t>2017</w:t>
      </w:r>
      <w:r w:rsidR="00525DF2" w:rsidRPr="00525DF2">
        <w:rPr>
          <w:rFonts w:asciiTheme="minorEastAsia" w:eastAsiaTheme="minorEastAsia" w:hAnsiTheme="minorEastAsia" w:hint="eastAsia"/>
          <w:sz w:val="21"/>
          <w:szCs w:val="21"/>
        </w:rPr>
        <w:t>年底，湖北省共有来自全球</w:t>
      </w:r>
      <w:r w:rsidR="00525DF2" w:rsidRPr="000E259C">
        <w:rPr>
          <w:rFonts w:ascii="Times New Roman" w:eastAsiaTheme="minorEastAsia" w:hAnsi="Times New Roman" w:cs="Times New Roman" w:hint="eastAsia"/>
          <w:sz w:val="21"/>
          <w:szCs w:val="21"/>
        </w:rPr>
        <w:t>176</w:t>
      </w:r>
      <w:r w:rsidR="00525DF2" w:rsidRPr="000E259C">
        <w:rPr>
          <w:rFonts w:ascii="Times New Roman" w:eastAsiaTheme="minorEastAsia" w:hAnsi="Times New Roman" w:cs="Times New Roman" w:hint="eastAsia"/>
          <w:sz w:val="21"/>
          <w:szCs w:val="21"/>
        </w:rPr>
        <w:t>个国</w:t>
      </w:r>
      <w:r w:rsidR="00525DF2" w:rsidRPr="00525DF2">
        <w:rPr>
          <w:rFonts w:asciiTheme="minorEastAsia" w:eastAsiaTheme="minorEastAsia" w:hAnsiTheme="minorEastAsia" w:hint="eastAsia"/>
          <w:sz w:val="21"/>
          <w:szCs w:val="21"/>
        </w:rPr>
        <w:t>家和地区的</w:t>
      </w:r>
      <w:r w:rsidR="00525DF2" w:rsidRPr="000E259C">
        <w:rPr>
          <w:rFonts w:ascii="Times New Roman" w:eastAsiaTheme="minorEastAsia" w:hAnsi="Times New Roman" w:cs="Times New Roman" w:hint="eastAsia"/>
          <w:sz w:val="21"/>
          <w:szCs w:val="21"/>
        </w:rPr>
        <w:t>2.2</w:t>
      </w:r>
      <w:r w:rsidR="00525DF2" w:rsidRPr="000E259C">
        <w:rPr>
          <w:rFonts w:ascii="Times New Roman" w:eastAsiaTheme="minorEastAsia" w:hAnsi="Times New Roman" w:cs="Times New Roman" w:hint="eastAsia"/>
          <w:sz w:val="21"/>
          <w:szCs w:val="21"/>
        </w:rPr>
        <w:t>万</w:t>
      </w:r>
      <w:r w:rsidR="00525DF2" w:rsidRPr="00525DF2">
        <w:rPr>
          <w:rFonts w:asciiTheme="minorEastAsia" w:eastAsiaTheme="minorEastAsia" w:hAnsiTheme="minorEastAsia" w:hint="eastAsia"/>
          <w:sz w:val="21"/>
          <w:szCs w:val="21"/>
        </w:rPr>
        <w:t>名国际学生，其中来自南亚的留学生有</w:t>
      </w:r>
      <w:r w:rsidR="00525DF2" w:rsidRPr="000E259C">
        <w:rPr>
          <w:rFonts w:ascii="Times New Roman" w:eastAsiaTheme="minorEastAsia" w:hAnsi="Times New Roman" w:cs="Times New Roman" w:hint="eastAsia"/>
          <w:sz w:val="21"/>
          <w:szCs w:val="21"/>
        </w:rPr>
        <w:t>5000</w:t>
      </w:r>
      <w:r w:rsidR="00525DF2" w:rsidRPr="000E259C">
        <w:rPr>
          <w:rFonts w:ascii="Times New Roman" w:eastAsiaTheme="minorEastAsia" w:hAnsi="Times New Roman" w:cs="Times New Roman" w:hint="eastAsia"/>
          <w:sz w:val="21"/>
          <w:szCs w:val="21"/>
        </w:rPr>
        <w:t>多</w:t>
      </w:r>
      <w:r w:rsidR="00525DF2" w:rsidRPr="00525DF2">
        <w:rPr>
          <w:rFonts w:asciiTheme="minorEastAsia" w:eastAsiaTheme="minorEastAsia" w:hAnsiTheme="minorEastAsia" w:hint="eastAsia"/>
          <w:sz w:val="21"/>
          <w:szCs w:val="21"/>
        </w:rPr>
        <w:t>人，占我省高校外国留学生总数</w:t>
      </w:r>
      <w:r w:rsidR="00525DF2" w:rsidRPr="000E259C">
        <w:rPr>
          <w:rFonts w:ascii="Times New Roman" w:eastAsiaTheme="minorEastAsia" w:hAnsi="Times New Roman" w:cs="Times New Roman" w:hint="eastAsia"/>
          <w:sz w:val="21"/>
          <w:szCs w:val="21"/>
        </w:rPr>
        <w:t>的</w:t>
      </w:r>
      <w:r w:rsidR="00525DF2" w:rsidRPr="000E259C">
        <w:rPr>
          <w:rFonts w:ascii="Times New Roman" w:eastAsiaTheme="minorEastAsia" w:hAnsi="Times New Roman" w:cs="Times New Roman" w:hint="eastAsia"/>
          <w:sz w:val="21"/>
          <w:szCs w:val="21"/>
        </w:rPr>
        <w:t>23.3%</w:t>
      </w:r>
      <w:r w:rsidR="00525DF2" w:rsidRPr="000E259C">
        <w:rPr>
          <w:rFonts w:ascii="Times New Roman" w:eastAsiaTheme="minorEastAsia" w:hAnsi="Times New Roman" w:cs="Times New Roman" w:hint="eastAsia"/>
          <w:sz w:val="21"/>
          <w:szCs w:val="21"/>
        </w:rPr>
        <w:t>，</w:t>
      </w:r>
      <w:r w:rsidR="00525DF2" w:rsidRPr="00525DF2">
        <w:rPr>
          <w:rFonts w:asciiTheme="minorEastAsia" w:eastAsiaTheme="minorEastAsia" w:hAnsiTheme="minorEastAsia" w:hint="eastAsia"/>
          <w:sz w:val="21"/>
          <w:szCs w:val="21"/>
        </w:rPr>
        <w:t>是我省国际留学生第一大生源区。湖北高等院校众多，教育优势明显，南亚是推进“一带一路”教育行动的重要方向和合作伙伴。湖北省教育厅厅长陶宏表示，将继续推进教育对外开放，不断加强和深化与南亚国家在双向留学、联合办学、联合科研等领域的合作。</w:t>
      </w:r>
      <w:r>
        <w:rPr>
          <w:rFonts w:asciiTheme="minorEastAsia" w:eastAsiaTheme="minorEastAsia" w:hAnsiTheme="minorEastAsia" w:hint="eastAsia"/>
          <w:sz w:val="21"/>
          <w:szCs w:val="21"/>
        </w:rPr>
        <w:t>来源：《</w:t>
      </w:r>
      <w:r w:rsidR="00525DF2">
        <w:rPr>
          <w:rFonts w:asciiTheme="minorEastAsia" w:eastAsiaTheme="minorEastAsia" w:hAnsiTheme="minorEastAsia" w:hint="eastAsia"/>
          <w:sz w:val="21"/>
          <w:szCs w:val="21"/>
        </w:rPr>
        <w:t>湖北省教育厅网站</w:t>
      </w:r>
      <w:r>
        <w:rPr>
          <w:rFonts w:asciiTheme="minorEastAsia" w:eastAsiaTheme="minorEastAsia" w:hAnsiTheme="minorEastAsia" w:hint="eastAsia"/>
          <w:sz w:val="21"/>
          <w:szCs w:val="21"/>
        </w:rPr>
        <w:t>》</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00525DF2"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00525DF2" w:rsidRPr="000E259C">
        <w:rPr>
          <w:rFonts w:ascii="Times New Roman" w:eastAsiaTheme="minorEastAsia" w:hAnsi="Times New Roman" w:cs="Times New Roman" w:hint="eastAsia"/>
          <w:sz w:val="21"/>
          <w:szCs w:val="21"/>
        </w:rPr>
        <w:t>18</w:t>
      </w:r>
      <w:r w:rsidRPr="000E259C">
        <w:rPr>
          <w:rFonts w:ascii="Times New Roman" w:eastAsiaTheme="minorEastAsia" w:hAnsi="Times New Roman" w:cs="Times New Roman"/>
          <w:sz w:val="21"/>
          <w:szCs w:val="21"/>
        </w:rPr>
        <w:t>日）</w:t>
      </w:r>
    </w:p>
    <w:p w:rsidR="00890DF6" w:rsidRDefault="00AF5955" w:rsidP="008C5A90">
      <w:pPr>
        <w:spacing w:beforeLines="50" w:before="120" w:afterLines="0" w:line="300" w:lineRule="auto"/>
        <w:jc w:val="center"/>
        <w:rPr>
          <w:rFonts w:asciiTheme="minorEastAsia" w:eastAsiaTheme="minorEastAsia" w:hAnsiTheme="minorEastAsia"/>
          <w:b/>
          <w:sz w:val="24"/>
          <w:szCs w:val="24"/>
        </w:rPr>
      </w:pPr>
      <w:r>
        <w:rPr>
          <w:rFonts w:ascii="黑体" w:eastAsia="黑体" w:hAnsi="黑体" w:hint="eastAsia"/>
          <w:sz w:val="28"/>
          <w:szCs w:val="28"/>
        </w:rPr>
        <w:t>【院校动态】</w:t>
      </w:r>
    </w:p>
    <w:p w:rsidR="00F80F63" w:rsidRPr="00F80F63" w:rsidRDefault="00F80F63" w:rsidP="008C5A90">
      <w:pPr>
        <w:spacing w:beforeLines="50" w:before="12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525DF2" w:rsidRPr="00525DF2">
        <w:rPr>
          <w:rFonts w:asciiTheme="minorEastAsia" w:eastAsiaTheme="minorEastAsia" w:hAnsiTheme="minorEastAsia"/>
          <w:b/>
          <w:bCs/>
          <w:sz w:val="24"/>
          <w:szCs w:val="24"/>
        </w:rPr>
        <w:t>清华大学加大力度完善资助育人体系</w:t>
      </w:r>
      <w:r w:rsidRPr="0064674A">
        <w:rPr>
          <w:rFonts w:asciiTheme="minorEastAsia" w:eastAsiaTheme="minorEastAsia" w:hAnsiTheme="minorEastAsia"/>
          <w:sz w:val="21"/>
          <w:szCs w:val="21"/>
        </w:rPr>
        <w:t xml:space="preserve">　</w:t>
      </w:r>
      <w:r w:rsidR="00525DF2">
        <w:rPr>
          <w:rFonts w:asciiTheme="minorEastAsia" w:eastAsiaTheme="minorEastAsia" w:hAnsiTheme="minorEastAsia" w:hint="eastAsia"/>
          <w:sz w:val="21"/>
          <w:szCs w:val="21"/>
        </w:rPr>
        <w:t>近日，</w:t>
      </w:r>
      <w:r w:rsidR="00525DF2" w:rsidRPr="00525DF2">
        <w:rPr>
          <w:rFonts w:asciiTheme="minorEastAsia" w:eastAsiaTheme="minorEastAsia" w:hAnsiTheme="minorEastAsia"/>
          <w:sz w:val="21"/>
          <w:szCs w:val="21"/>
        </w:rPr>
        <w:t>清华大学坚持“精准资助”“资助育人”，持续夯实保障型资助，探索完善发展型资助，切实创新育人手段、提升育人水平。</w:t>
      </w:r>
      <w:r w:rsidR="00525DF2">
        <w:rPr>
          <w:rFonts w:asciiTheme="minorEastAsia" w:eastAsiaTheme="minorEastAsia" w:hAnsiTheme="minorEastAsia" w:hint="eastAsia"/>
          <w:sz w:val="21"/>
          <w:szCs w:val="21"/>
        </w:rPr>
        <w:t>（一）</w:t>
      </w:r>
      <w:r w:rsidR="00525DF2" w:rsidRPr="00525DF2">
        <w:rPr>
          <w:rFonts w:asciiTheme="minorEastAsia" w:eastAsiaTheme="minorEastAsia" w:hAnsiTheme="minorEastAsia"/>
          <w:sz w:val="21"/>
          <w:szCs w:val="21"/>
        </w:rPr>
        <w:t>多措并举，确保资助政策“送到家”。聘请获得国家奖学金、励志奖学金的优秀学子担任“学生资助宣传大使”，组织教师、辅导员走访经济困难学生家庭，传递资助温暖。开通咨询热线，安排专人负责，实时解答疑问，暑假期间累计接待学生家长咨询</w:t>
      </w:r>
      <w:r w:rsidR="00525DF2" w:rsidRPr="000E259C">
        <w:rPr>
          <w:rFonts w:ascii="Times New Roman" w:eastAsiaTheme="minorEastAsia" w:hAnsi="Times New Roman" w:cs="Times New Roman"/>
          <w:sz w:val="21"/>
          <w:szCs w:val="21"/>
        </w:rPr>
        <w:t>272</w:t>
      </w:r>
      <w:r w:rsidR="00525DF2" w:rsidRPr="00525DF2">
        <w:rPr>
          <w:rFonts w:asciiTheme="minorEastAsia" w:eastAsiaTheme="minorEastAsia" w:hAnsiTheme="minorEastAsia"/>
          <w:sz w:val="21"/>
          <w:szCs w:val="21"/>
        </w:rPr>
        <w:t>次。</w:t>
      </w:r>
      <w:r w:rsidR="00525DF2">
        <w:rPr>
          <w:rFonts w:asciiTheme="minorEastAsia" w:eastAsiaTheme="minorEastAsia" w:hAnsiTheme="minorEastAsia" w:hint="eastAsia"/>
          <w:sz w:val="21"/>
          <w:szCs w:val="21"/>
        </w:rPr>
        <w:t>（二）</w:t>
      </w:r>
      <w:r w:rsidR="00525DF2" w:rsidRPr="00525DF2">
        <w:rPr>
          <w:rFonts w:asciiTheme="minorEastAsia" w:eastAsiaTheme="minorEastAsia" w:hAnsiTheme="minorEastAsia"/>
          <w:sz w:val="21"/>
          <w:szCs w:val="21"/>
        </w:rPr>
        <w:t>多管齐下，实现新生资助“送上门”。路费生活费“送上家门”，赴京报到路费有困难的学生，可以向学校申请路费、生活费补助。绿色通道“迎在校门”，为家庭经济困难学生提供临时借款，帮助学生顺利完成入学注册，并为学生提供生活费借款，满足学生的基本生活需求。</w:t>
      </w:r>
      <w:r w:rsidR="00525DF2">
        <w:rPr>
          <w:rFonts w:asciiTheme="minorEastAsia" w:eastAsiaTheme="minorEastAsia" w:hAnsiTheme="minorEastAsia" w:hint="eastAsia"/>
          <w:sz w:val="21"/>
          <w:szCs w:val="21"/>
        </w:rPr>
        <w:t>（三）</w:t>
      </w:r>
      <w:r w:rsidR="00525DF2" w:rsidRPr="00525DF2">
        <w:rPr>
          <w:rFonts w:asciiTheme="minorEastAsia" w:eastAsiaTheme="minorEastAsia" w:hAnsiTheme="minorEastAsia"/>
          <w:sz w:val="21"/>
          <w:szCs w:val="21"/>
        </w:rPr>
        <w:t>多元发力，推进全面发展“送一程”。开展家庭经济困难学生谈话与认定工作，在精准认定的基础上，凡家庭经济条件无法支持在校基本生活保障线的大一新生，学校均以无偿助学金形式补足，解决学生后顾之忧。优化“能力提升系列课程”方案设计，构建德智体美劳全面培养的课程体系，为家庭经济困难学生提供更多接触文化艺术和提升外语能力、沟通表达能力的机会。</w:t>
      </w:r>
      <w:r>
        <w:rPr>
          <w:rFonts w:asciiTheme="minorEastAsia" w:eastAsiaTheme="minorEastAsia" w:hAnsiTheme="minorEastAsia" w:hint="eastAsia"/>
          <w:sz w:val="21"/>
          <w:szCs w:val="21"/>
        </w:rPr>
        <w:t>来源：《</w:t>
      </w:r>
      <w:r w:rsidR="00525DF2">
        <w:rPr>
          <w:rFonts w:asciiTheme="minorEastAsia" w:eastAsiaTheme="minorEastAsia" w:hAnsiTheme="minorEastAsia" w:hint="eastAsia"/>
          <w:sz w:val="21"/>
          <w:szCs w:val="21"/>
        </w:rPr>
        <w:t>教育部网站</w:t>
      </w:r>
      <w:r w:rsidRPr="00F80F63">
        <w:rPr>
          <w:rFonts w:asciiTheme="minorEastAsia" w:eastAsiaTheme="minorEastAsia" w:hAnsiTheme="minorEastAsia"/>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00525DF2"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00525DF2" w:rsidRPr="000E259C">
        <w:rPr>
          <w:rFonts w:ascii="Times New Roman" w:eastAsiaTheme="minorEastAsia" w:hAnsi="Times New Roman" w:cs="Times New Roman" w:hint="eastAsia"/>
          <w:sz w:val="21"/>
          <w:szCs w:val="21"/>
        </w:rPr>
        <w:t>25</w:t>
      </w:r>
      <w:r w:rsidRPr="000E259C">
        <w:rPr>
          <w:rFonts w:ascii="Times New Roman" w:eastAsiaTheme="minorEastAsia" w:hAnsi="Times New Roman" w:cs="Times New Roman"/>
          <w:sz w:val="21"/>
          <w:szCs w:val="21"/>
        </w:rPr>
        <w:t>日</w:t>
      </w:r>
      <w:r w:rsidRPr="00F80F63">
        <w:rPr>
          <w:rFonts w:asciiTheme="minorEastAsia" w:eastAsiaTheme="minorEastAsia" w:hAnsiTheme="minorEastAsia"/>
          <w:sz w:val="21"/>
          <w:szCs w:val="21"/>
        </w:rPr>
        <w:t>）</w:t>
      </w:r>
    </w:p>
    <w:p w:rsidR="005023C4" w:rsidRPr="000E259C" w:rsidRDefault="00AF5955" w:rsidP="008C5A90">
      <w:pPr>
        <w:pStyle w:val="a6"/>
        <w:spacing w:beforeLines="50" w:before="120" w:beforeAutospacing="0" w:afterLines="0" w:afterAutospacing="0" w:line="324" w:lineRule="auto"/>
        <w:rPr>
          <w:rFonts w:ascii="Times New Roman" w:eastAsiaTheme="minorEastAsia" w:hAnsi="Times New Roman" w:cs="Times New Roman"/>
          <w:sz w:val="21"/>
          <w:szCs w:val="21"/>
        </w:rPr>
      </w:pPr>
      <w:r>
        <w:rPr>
          <w:rFonts w:asciiTheme="minorEastAsia" w:eastAsiaTheme="minorEastAsia" w:hAnsiTheme="minorEastAsia" w:hint="eastAsia"/>
          <w:b/>
        </w:rPr>
        <w:t>▲</w:t>
      </w:r>
      <w:r w:rsidR="00616B7A">
        <w:rPr>
          <w:rFonts w:asciiTheme="minorEastAsia" w:eastAsiaTheme="minorEastAsia" w:hAnsiTheme="minorEastAsia" w:hint="eastAsia"/>
          <w:b/>
        </w:rPr>
        <w:t>中</w:t>
      </w:r>
      <w:r w:rsidR="00616B7A" w:rsidRPr="00616B7A">
        <w:rPr>
          <w:rFonts w:asciiTheme="minorEastAsia" w:eastAsiaTheme="minorEastAsia" w:hAnsiTheme="minorEastAsia"/>
          <w:b/>
          <w:bCs/>
        </w:rPr>
        <w:t>国矿业大学（北京）“双轮驱动”推进大学生创业工作提质升级</w:t>
      </w:r>
      <w:r w:rsidR="00616B7A">
        <w:rPr>
          <w:rFonts w:asciiTheme="minorEastAsia" w:eastAsiaTheme="minorEastAsia" w:hAnsiTheme="minorEastAsia" w:hint="eastAsia"/>
          <w:b/>
          <w:bCs/>
        </w:rPr>
        <w:t xml:space="preserve"> </w:t>
      </w:r>
      <w:r w:rsidR="00616B7A" w:rsidRPr="00616B7A">
        <w:rPr>
          <w:rFonts w:asciiTheme="minorEastAsia" w:eastAsiaTheme="minorEastAsia" w:hAnsiTheme="minorEastAsia" w:hint="eastAsia"/>
          <w:bCs/>
          <w:sz w:val="21"/>
          <w:szCs w:val="21"/>
        </w:rPr>
        <w:t>近日，</w:t>
      </w:r>
      <w:r w:rsidR="00616B7A" w:rsidRPr="00616B7A">
        <w:rPr>
          <w:rFonts w:asciiTheme="minorEastAsia" w:eastAsiaTheme="minorEastAsia" w:hAnsiTheme="minorEastAsia"/>
          <w:bCs/>
          <w:sz w:val="21"/>
          <w:szCs w:val="21"/>
        </w:rPr>
        <w:t>中国矿业大学（北京）整合校内外资源，凝聚全校合力，将“创新创业教育”与“就业创业实践”作为加快推进大学生创业工作发展的两个主引擎，努力推动工作提质增效。</w:t>
      </w:r>
      <w:r w:rsidR="00616B7A">
        <w:rPr>
          <w:rFonts w:asciiTheme="minorEastAsia" w:eastAsiaTheme="minorEastAsia" w:hAnsiTheme="minorEastAsia" w:hint="eastAsia"/>
          <w:bCs/>
          <w:sz w:val="21"/>
          <w:szCs w:val="21"/>
        </w:rPr>
        <w:t>（一）</w:t>
      </w:r>
      <w:r w:rsidR="00616B7A" w:rsidRPr="00616B7A">
        <w:rPr>
          <w:rFonts w:asciiTheme="minorEastAsia" w:eastAsiaTheme="minorEastAsia" w:hAnsiTheme="minorEastAsia"/>
          <w:bCs/>
          <w:sz w:val="21"/>
          <w:szCs w:val="21"/>
        </w:rPr>
        <w:t>丰富创业教育内涵，提升学生创业能力。开设必修课《大学生创业基础》，建设“创新创业教育”和“创业数字图书馆”网络平台，基础课教育与在线专业课教育有机结合，推动创业理念进课堂、入头脑。</w:t>
      </w:r>
      <w:r w:rsidR="00616B7A">
        <w:rPr>
          <w:rFonts w:asciiTheme="minorEastAsia" w:eastAsiaTheme="minorEastAsia" w:hAnsiTheme="minorEastAsia" w:hint="eastAsia"/>
          <w:bCs/>
          <w:sz w:val="21"/>
          <w:szCs w:val="21"/>
        </w:rPr>
        <w:t>（二）</w:t>
      </w:r>
      <w:r w:rsidR="00616B7A" w:rsidRPr="00616B7A">
        <w:rPr>
          <w:rFonts w:asciiTheme="minorEastAsia" w:eastAsiaTheme="minorEastAsia" w:hAnsiTheme="minorEastAsia"/>
          <w:bCs/>
          <w:sz w:val="21"/>
          <w:szCs w:val="21"/>
        </w:rPr>
        <w:t>打造“众创空间”，服务创业项目孵化。结合不同创业阶段学生的实际需求，打造以“</w:t>
      </w:r>
      <w:r w:rsidR="00616B7A" w:rsidRPr="000E259C">
        <w:rPr>
          <w:rFonts w:ascii="Times New Roman" w:eastAsiaTheme="minorEastAsia" w:hAnsi="Times New Roman" w:cs="Times New Roman"/>
          <w:sz w:val="21"/>
          <w:szCs w:val="21"/>
        </w:rPr>
        <w:t>2+5</w:t>
      </w:r>
      <w:r w:rsidR="00616B7A" w:rsidRPr="00616B7A">
        <w:rPr>
          <w:rFonts w:asciiTheme="minorEastAsia" w:eastAsiaTheme="minorEastAsia" w:hAnsiTheme="minorEastAsia"/>
          <w:bCs/>
          <w:sz w:val="21"/>
          <w:szCs w:val="21"/>
        </w:rPr>
        <w:t>”为核心功能的“众创空间”，即“咨询、指导+展示、培训、实践、培育、交流”。</w:t>
      </w:r>
      <w:r w:rsidR="00616B7A">
        <w:rPr>
          <w:rFonts w:asciiTheme="minorEastAsia" w:eastAsiaTheme="minorEastAsia" w:hAnsiTheme="minorEastAsia" w:hint="eastAsia"/>
          <w:bCs/>
          <w:sz w:val="21"/>
          <w:szCs w:val="21"/>
        </w:rPr>
        <w:t>（三）</w:t>
      </w:r>
      <w:r w:rsidR="00616B7A" w:rsidRPr="00616B7A">
        <w:rPr>
          <w:rFonts w:asciiTheme="minorEastAsia" w:eastAsiaTheme="minorEastAsia" w:hAnsiTheme="minorEastAsia"/>
          <w:bCs/>
          <w:sz w:val="21"/>
          <w:szCs w:val="21"/>
        </w:rPr>
        <w:t>建强师资队伍，实现创业全程指导。每年选派创业指导老师参加“全国高校创业指导师”“人社部创新创业导师”等培训，不断加强队伍专业化水平。</w:t>
      </w:r>
      <w:r w:rsidR="00616B7A">
        <w:rPr>
          <w:rFonts w:asciiTheme="minorEastAsia" w:eastAsiaTheme="minorEastAsia" w:hAnsiTheme="minorEastAsia" w:hint="eastAsia"/>
          <w:bCs/>
          <w:sz w:val="21"/>
          <w:szCs w:val="21"/>
        </w:rPr>
        <w:t>（四）</w:t>
      </w:r>
      <w:r w:rsidR="00616B7A" w:rsidRPr="00616B7A">
        <w:rPr>
          <w:rFonts w:asciiTheme="minorEastAsia" w:eastAsiaTheme="minorEastAsia" w:hAnsiTheme="minorEastAsia"/>
          <w:bCs/>
          <w:sz w:val="21"/>
          <w:szCs w:val="21"/>
        </w:rPr>
        <w:t>加强条件保障，助力创业团队发展。成立创新创业教育工作领导小组，统筹协调学生创业工作。在充分利用校内资源基础上，积极整合社会资源，开拓校外实践实训</w:t>
      </w:r>
      <w:r w:rsidR="00616B7A" w:rsidRPr="00616B7A">
        <w:rPr>
          <w:rFonts w:asciiTheme="minorEastAsia" w:eastAsiaTheme="minorEastAsia" w:hAnsiTheme="minorEastAsia"/>
          <w:bCs/>
          <w:sz w:val="21"/>
          <w:szCs w:val="21"/>
        </w:rPr>
        <w:lastRenderedPageBreak/>
        <w:t>平台，提供项目开发、团队建设、资金筹措、产品推广等资源。</w:t>
      </w:r>
      <w:r w:rsidRPr="00616B7A">
        <w:rPr>
          <w:rFonts w:asciiTheme="minorEastAsia" w:eastAsiaTheme="minorEastAsia" w:hAnsiTheme="minorEastAsia" w:hint="eastAsia"/>
          <w:bCs/>
          <w:sz w:val="21"/>
          <w:szCs w:val="21"/>
        </w:rPr>
        <w:t>来源：《</w:t>
      </w:r>
      <w:r w:rsidR="00616B7A" w:rsidRPr="00616B7A">
        <w:rPr>
          <w:rFonts w:asciiTheme="minorEastAsia" w:eastAsiaTheme="minorEastAsia" w:hAnsiTheme="minorEastAsia" w:hint="eastAsia"/>
          <w:bCs/>
          <w:sz w:val="21"/>
          <w:szCs w:val="21"/>
        </w:rPr>
        <w:t>教育部网站》</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00616B7A"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00616B7A" w:rsidRPr="000E259C">
        <w:rPr>
          <w:rFonts w:ascii="Times New Roman" w:eastAsiaTheme="minorEastAsia" w:hAnsi="Times New Roman" w:cs="Times New Roman" w:hint="eastAsia"/>
          <w:sz w:val="21"/>
          <w:szCs w:val="21"/>
        </w:rPr>
        <w:t>31</w:t>
      </w:r>
      <w:r w:rsidRPr="000E259C">
        <w:rPr>
          <w:rFonts w:ascii="Times New Roman" w:eastAsiaTheme="minorEastAsia" w:hAnsi="Times New Roman" w:cs="Times New Roman"/>
          <w:sz w:val="21"/>
          <w:szCs w:val="21"/>
        </w:rPr>
        <w:t>日）</w:t>
      </w:r>
    </w:p>
    <w:p w:rsidR="00890DF6" w:rsidRPr="000E259C" w:rsidRDefault="005023C4" w:rsidP="008C5A90">
      <w:pPr>
        <w:pStyle w:val="a6"/>
        <w:spacing w:beforeLines="50" w:before="120" w:beforeAutospacing="0" w:afterLines="0" w:afterAutospacing="0" w:line="324" w:lineRule="auto"/>
        <w:rPr>
          <w:rFonts w:ascii="Times New Roman" w:eastAsiaTheme="minorEastAsia" w:hAnsi="Times New Roman" w:cs="Times New Roman"/>
          <w:sz w:val="21"/>
          <w:szCs w:val="21"/>
        </w:rPr>
      </w:pPr>
      <w:r w:rsidRPr="00FA084F">
        <w:rPr>
          <w:rFonts w:asciiTheme="minorEastAsia" w:eastAsiaTheme="minorEastAsia" w:hAnsiTheme="minorEastAsia" w:hint="eastAsia"/>
          <w:b/>
          <w:bCs/>
        </w:rPr>
        <w:t>▲</w:t>
      </w:r>
      <w:r w:rsidRPr="00525DF2">
        <w:rPr>
          <w:rFonts w:asciiTheme="minorEastAsia" w:eastAsiaTheme="minorEastAsia" w:hAnsiTheme="minorEastAsia" w:hint="eastAsia"/>
          <w:b/>
          <w:bCs/>
        </w:rPr>
        <w:t>上海理工大学：推出师生学术共同体交流计划</w:t>
      </w:r>
      <w:r>
        <w:rPr>
          <w:rFonts w:asciiTheme="minorEastAsia" w:eastAsiaTheme="minorEastAsia" w:hAnsiTheme="minorEastAsia" w:hint="eastAsia"/>
          <w:b/>
          <w:bCs/>
        </w:rPr>
        <w:t xml:space="preserve"> </w:t>
      </w:r>
      <w:r w:rsidRPr="00525DF2">
        <w:rPr>
          <w:rFonts w:asciiTheme="minorEastAsia" w:eastAsiaTheme="minorEastAsia" w:hAnsiTheme="minorEastAsia" w:hint="eastAsia"/>
          <w:sz w:val="21"/>
          <w:szCs w:val="21"/>
        </w:rPr>
        <w:t>近日，上海理工大学最近推出师生学术共同体交流计划，为学生随导师出境交流提供政策和经费支持。学生在游学、交换生等形式之外，多了一种出境交流的途径。该计划明确，每位教师到境外进行学术研究和交流时，最多可以带</w:t>
      </w:r>
      <w:r w:rsidRPr="000E259C">
        <w:rPr>
          <w:rFonts w:ascii="Times New Roman" w:eastAsiaTheme="minorEastAsia" w:hAnsi="Times New Roman" w:cs="Times New Roman" w:hint="eastAsia"/>
          <w:sz w:val="21"/>
          <w:szCs w:val="21"/>
        </w:rPr>
        <w:t>4</w:t>
      </w:r>
      <w:r w:rsidRPr="000E259C">
        <w:rPr>
          <w:rFonts w:ascii="Times New Roman" w:eastAsiaTheme="minorEastAsia" w:hAnsi="Times New Roman" w:cs="Times New Roman" w:hint="eastAsia"/>
          <w:sz w:val="21"/>
          <w:szCs w:val="21"/>
        </w:rPr>
        <w:t>名学</w:t>
      </w:r>
      <w:r w:rsidRPr="00525DF2">
        <w:rPr>
          <w:rFonts w:asciiTheme="minorEastAsia" w:eastAsiaTheme="minorEastAsia" w:hAnsiTheme="minorEastAsia" w:hint="eastAsia"/>
          <w:sz w:val="21"/>
          <w:szCs w:val="21"/>
        </w:rPr>
        <w:t>生，学校为每名教师和学生提供最高</w:t>
      </w:r>
      <w:r w:rsidRPr="000E259C">
        <w:rPr>
          <w:rFonts w:ascii="Times New Roman" w:eastAsiaTheme="minorEastAsia" w:hAnsi="Times New Roman" w:cs="Times New Roman" w:hint="eastAsia"/>
          <w:sz w:val="21"/>
          <w:szCs w:val="21"/>
        </w:rPr>
        <w:t>1</w:t>
      </w:r>
      <w:r w:rsidRPr="00525DF2">
        <w:rPr>
          <w:rFonts w:asciiTheme="minorEastAsia" w:eastAsiaTheme="minorEastAsia" w:hAnsiTheme="minorEastAsia" w:hint="eastAsia"/>
          <w:sz w:val="21"/>
          <w:szCs w:val="21"/>
        </w:rPr>
        <w:t>万元经费资助，用于在境外高水平大学、研究机构开</w:t>
      </w:r>
      <w:r w:rsidRPr="000E259C">
        <w:rPr>
          <w:rFonts w:ascii="Times New Roman" w:eastAsiaTheme="minorEastAsia" w:hAnsi="Times New Roman" w:cs="Times New Roman" w:hint="eastAsia"/>
          <w:sz w:val="21"/>
          <w:szCs w:val="21"/>
        </w:rPr>
        <w:t>展</w:t>
      </w:r>
      <w:r w:rsidRPr="000E259C">
        <w:rPr>
          <w:rFonts w:ascii="Times New Roman" w:eastAsiaTheme="minorEastAsia" w:hAnsi="Times New Roman" w:cs="Times New Roman" w:hint="eastAsia"/>
          <w:sz w:val="21"/>
          <w:szCs w:val="21"/>
        </w:rPr>
        <w:t>3</w:t>
      </w:r>
      <w:r w:rsidRPr="000E259C">
        <w:rPr>
          <w:rFonts w:ascii="Times New Roman" w:eastAsiaTheme="minorEastAsia" w:hAnsi="Times New Roman" w:cs="Times New Roman" w:hint="eastAsia"/>
          <w:sz w:val="21"/>
          <w:szCs w:val="21"/>
        </w:rPr>
        <w:t>至</w:t>
      </w:r>
      <w:r w:rsidRPr="000E259C">
        <w:rPr>
          <w:rFonts w:ascii="Times New Roman" w:eastAsiaTheme="minorEastAsia" w:hAnsi="Times New Roman" w:cs="Times New Roman" w:hint="eastAsia"/>
          <w:sz w:val="21"/>
          <w:szCs w:val="21"/>
        </w:rPr>
        <w:t>5</w:t>
      </w:r>
      <w:r w:rsidRPr="000E259C">
        <w:rPr>
          <w:rFonts w:ascii="Times New Roman" w:eastAsiaTheme="minorEastAsia" w:hAnsi="Times New Roman" w:cs="Times New Roman" w:hint="eastAsia"/>
          <w:sz w:val="21"/>
          <w:szCs w:val="21"/>
        </w:rPr>
        <w:t>周</w:t>
      </w:r>
      <w:r w:rsidRPr="00525DF2">
        <w:rPr>
          <w:rFonts w:asciiTheme="minorEastAsia" w:eastAsiaTheme="minorEastAsia" w:hAnsiTheme="minorEastAsia" w:hint="eastAsia"/>
          <w:sz w:val="21"/>
          <w:szCs w:val="21"/>
        </w:rPr>
        <w:t>的合作研究和学术交流活动。截至目前，上海理工大学已批准</w:t>
      </w:r>
      <w:r w:rsidRPr="000E259C">
        <w:rPr>
          <w:rFonts w:ascii="Times New Roman" w:eastAsiaTheme="minorEastAsia" w:hAnsi="Times New Roman" w:cs="Times New Roman" w:hint="eastAsia"/>
          <w:sz w:val="21"/>
          <w:szCs w:val="21"/>
        </w:rPr>
        <w:t>9</w:t>
      </w:r>
      <w:r w:rsidRPr="00525DF2">
        <w:rPr>
          <w:rFonts w:asciiTheme="minorEastAsia" w:eastAsiaTheme="minorEastAsia" w:hAnsiTheme="minorEastAsia" w:hint="eastAsia"/>
          <w:sz w:val="21"/>
          <w:szCs w:val="21"/>
        </w:rPr>
        <w:t>个团队的出境交流计划，涉</w:t>
      </w:r>
      <w:r w:rsidRPr="000E259C">
        <w:rPr>
          <w:rFonts w:ascii="Times New Roman" w:eastAsiaTheme="minorEastAsia" w:hAnsi="Times New Roman" w:cs="Times New Roman" w:hint="eastAsia"/>
          <w:sz w:val="21"/>
          <w:szCs w:val="21"/>
        </w:rPr>
        <w:t>及</w:t>
      </w:r>
      <w:r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hint="eastAsia"/>
          <w:sz w:val="21"/>
          <w:szCs w:val="21"/>
        </w:rPr>
        <w:t>名</w:t>
      </w:r>
      <w:r w:rsidRPr="00525DF2">
        <w:rPr>
          <w:rFonts w:asciiTheme="minorEastAsia" w:eastAsiaTheme="minorEastAsia" w:hAnsiTheme="minorEastAsia" w:hint="eastAsia"/>
          <w:sz w:val="21"/>
          <w:szCs w:val="21"/>
        </w:rPr>
        <w:t>教师和</w:t>
      </w:r>
      <w:r w:rsidRPr="000E259C">
        <w:rPr>
          <w:rFonts w:ascii="Times New Roman" w:eastAsiaTheme="minorEastAsia" w:hAnsi="Times New Roman" w:cs="Times New Roman" w:hint="eastAsia"/>
          <w:sz w:val="21"/>
          <w:szCs w:val="21"/>
        </w:rPr>
        <w:t>24</w:t>
      </w:r>
      <w:r w:rsidRPr="00525DF2">
        <w:rPr>
          <w:rFonts w:asciiTheme="minorEastAsia" w:eastAsiaTheme="minorEastAsia" w:hAnsiTheme="minorEastAsia" w:hint="eastAsia"/>
          <w:sz w:val="21"/>
          <w:szCs w:val="21"/>
        </w:rPr>
        <w:t>名学生，共资助</w:t>
      </w:r>
      <w:r w:rsidRPr="000E259C">
        <w:rPr>
          <w:rFonts w:ascii="Times New Roman" w:eastAsiaTheme="minorEastAsia" w:hAnsi="Times New Roman" w:cs="Times New Roman" w:hint="eastAsia"/>
          <w:sz w:val="21"/>
          <w:szCs w:val="21"/>
        </w:rPr>
        <w:t>34</w:t>
      </w:r>
      <w:r w:rsidRPr="00525DF2">
        <w:rPr>
          <w:rFonts w:asciiTheme="minorEastAsia" w:eastAsiaTheme="minorEastAsia" w:hAnsiTheme="minorEastAsia" w:hint="eastAsia"/>
          <w:sz w:val="21"/>
          <w:szCs w:val="21"/>
        </w:rPr>
        <w:t>万元。上海理工大学能源与动力工程学院研究生王孟刚与老师从爱尔兰国立科克大学回来，在国外期间，他协助老师完成了实验仪器搭建、反应舱调试等工作。他说：“这项计划给了学生出国做学术的机会，体验国外的大学生活，了解到国外最前沿的技术，提升了口语等各方面的能力。”</w:t>
      </w:r>
      <w:r w:rsidRPr="00881460">
        <w:rPr>
          <w:rFonts w:asciiTheme="minorEastAsia" w:eastAsiaTheme="minorEastAsia" w:hAnsiTheme="minorEastAsia" w:hint="eastAsia"/>
          <w:sz w:val="21"/>
          <w:szCs w:val="21"/>
        </w:rPr>
        <w:t>来源：《</w:t>
      </w:r>
      <w:r w:rsidR="00C30AFF">
        <w:rPr>
          <w:rFonts w:asciiTheme="minorEastAsia" w:eastAsiaTheme="minorEastAsia" w:hAnsiTheme="minorEastAsia" w:hint="eastAsia"/>
          <w:sz w:val="21"/>
          <w:szCs w:val="21"/>
        </w:rPr>
        <w:t>中国教育报</w:t>
      </w:r>
      <w:r w:rsidRPr="00881460">
        <w:rPr>
          <w:rFonts w:asciiTheme="minorEastAsia" w:eastAsiaTheme="minorEastAsia" w:hAnsiTheme="minorEastAsia" w:hint="eastAsia"/>
          <w:sz w:val="21"/>
          <w:szCs w:val="21"/>
        </w:rPr>
        <w:t>》</w:t>
      </w:r>
      <w:r w:rsidRPr="00881460">
        <w:rPr>
          <w:rFonts w:asciiTheme="minorEastAsia" w:eastAsiaTheme="minorEastAsia" w:hAnsiTheme="minorEastAsia"/>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hint="eastAsia"/>
          <w:sz w:val="21"/>
          <w:szCs w:val="21"/>
        </w:rPr>
        <w:t>9</w:t>
      </w:r>
      <w:r w:rsidRPr="000E259C">
        <w:rPr>
          <w:rFonts w:ascii="Times New Roman" w:eastAsiaTheme="minorEastAsia" w:hAnsi="Times New Roman" w:cs="Times New Roman"/>
          <w:sz w:val="21"/>
          <w:szCs w:val="21"/>
        </w:rPr>
        <w:t>日）</w:t>
      </w:r>
    </w:p>
    <w:p w:rsidR="00F80F63" w:rsidRPr="000E259C" w:rsidRDefault="00F80F63" w:rsidP="008C5A90">
      <w:pPr>
        <w:pStyle w:val="a6"/>
        <w:spacing w:beforeLines="50" w:before="120" w:beforeAutospacing="0" w:afterLines="0" w:afterAutospacing="0" w:line="324" w:lineRule="auto"/>
        <w:jc w:val="both"/>
        <w:rPr>
          <w:rFonts w:ascii="Times New Roman" w:eastAsiaTheme="minorEastAsia" w:hAnsi="Times New Roman" w:cs="Times New Roman"/>
          <w:sz w:val="21"/>
          <w:szCs w:val="21"/>
        </w:rPr>
      </w:pPr>
      <w:r w:rsidRPr="00FA084F">
        <w:rPr>
          <w:rFonts w:asciiTheme="minorEastAsia" w:eastAsiaTheme="minorEastAsia" w:hAnsiTheme="minorEastAsia" w:hint="eastAsia"/>
          <w:b/>
          <w:bCs/>
        </w:rPr>
        <w:t>▲</w:t>
      </w:r>
      <w:r w:rsidR="005023C4" w:rsidRPr="005023C4">
        <w:rPr>
          <w:rFonts w:asciiTheme="minorEastAsia" w:eastAsiaTheme="minorEastAsia" w:hAnsiTheme="minorEastAsia" w:hint="eastAsia"/>
          <w:b/>
          <w:bCs/>
        </w:rPr>
        <w:t>苏州大学：打造“云中大学”样本</w:t>
      </w:r>
      <w:r w:rsidR="005023C4">
        <w:rPr>
          <w:rFonts w:asciiTheme="minorEastAsia" w:eastAsiaTheme="minorEastAsia" w:hAnsiTheme="minorEastAsia" w:hint="eastAsia"/>
          <w:b/>
          <w:bCs/>
        </w:rPr>
        <w:t xml:space="preserve"> </w:t>
      </w:r>
      <w:r w:rsidR="005023C4" w:rsidRPr="005023C4">
        <w:rPr>
          <w:rFonts w:asciiTheme="minorEastAsia" w:eastAsiaTheme="minorEastAsia" w:hAnsiTheme="minorEastAsia" w:hint="eastAsia"/>
          <w:sz w:val="21"/>
          <w:szCs w:val="21"/>
        </w:rPr>
        <w:t>日前，苏州大学与华为技术有限公司在第三届</w:t>
      </w:r>
      <w:r w:rsidR="005023C4" w:rsidRPr="000E259C">
        <w:rPr>
          <w:rFonts w:ascii="Times New Roman" w:eastAsiaTheme="minorEastAsia" w:hAnsi="Times New Roman" w:cs="Times New Roman" w:hint="eastAsia"/>
          <w:sz w:val="21"/>
          <w:szCs w:val="21"/>
        </w:rPr>
        <w:t>HUAWEI CONNECT 2018</w:t>
      </w:r>
      <w:r w:rsidR="005023C4" w:rsidRPr="000E259C">
        <w:rPr>
          <w:rFonts w:ascii="Times New Roman" w:eastAsiaTheme="minorEastAsia" w:hAnsi="Times New Roman" w:cs="Times New Roman" w:hint="eastAsia"/>
          <w:sz w:val="21"/>
          <w:szCs w:val="21"/>
        </w:rPr>
        <w:t>（华为全联接大会）上签署战略合作框架协议。双方面向信息技术和高等教</w:t>
      </w:r>
      <w:r w:rsidR="005023C4" w:rsidRPr="005023C4">
        <w:rPr>
          <w:rFonts w:asciiTheme="minorEastAsia" w:eastAsiaTheme="minorEastAsia" w:hAnsiTheme="minorEastAsia" w:hint="eastAsia"/>
          <w:sz w:val="21"/>
          <w:szCs w:val="21"/>
        </w:rPr>
        <w:t>育发展未来，共同打造一个镜像化、数字化、智能化的“云中大学”，并在人才培养、科研合作、成果转化等领域开展全面合作。据了解，苏大与华为的战略合作采取“</w:t>
      </w:r>
      <w:r w:rsidR="005023C4" w:rsidRPr="000E259C">
        <w:rPr>
          <w:rFonts w:ascii="Times New Roman" w:eastAsiaTheme="minorEastAsia" w:hAnsi="Times New Roman" w:cs="Times New Roman" w:hint="eastAsia"/>
          <w:sz w:val="21"/>
          <w:szCs w:val="21"/>
        </w:rPr>
        <w:t>1+1+N</w:t>
      </w:r>
      <w:r w:rsidR="005023C4" w:rsidRPr="005023C4">
        <w:rPr>
          <w:rFonts w:asciiTheme="minorEastAsia" w:eastAsiaTheme="minorEastAsia" w:hAnsiTheme="minorEastAsia" w:hint="eastAsia"/>
          <w:sz w:val="21"/>
          <w:szCs w:val="21"/>
        </w:rPr>
        <w:t>”模式，在强强合作的基础上，也将充分吸纳社会技术力量。双方共同探索建立的“云中苏大”将实现学校全方位的完全数字化，是现实苏大的镜像版。苏州大学校长熊思东表示，在信息技术成为经济制胜战略根本动力的今天，以技术革新驱动大学变革与创新已成为趋势，希望通过与华为的合作把“云中苏大”打造成未来大学的典范，能够为未来高等教育向全数字大学的转型提供可以复制推广的成功经验。</w:t>
      </w:r>
      <w:r w:rsidRPr="00881460">
        <w:rPr>
          <w:rFonts w:asciiTheme="minorEastAsia" w:eastAsiaTheme="minorEastAsia" w:hAnsiTheme="minorEastAsia" w:hint="eastAsia"/>
          <w:sz w:val="21"/>
          <w:szCs w:val="21"/>
        </w:rPr>
        <w:t>来源：《</w:t>
      </w:r>
      <w:r w:rsidR="005023C4">
        <w:rPr>
          <w:rFonts w:asciiTheme="minorEastAsia" w:eastAsiaTheme="minorEastAsia" w:hAnsiTheme="minorEastAsia" w:hint="eastAsia"/>
          <w:sz w:val="21"/>
          <w:szCs w:val="21"/>
        </w:rPr>
        <w:t>中国教育报</w:t>
      </w:r>
      <w:r w:rsidRPr="00881460">
        <w:rPr>
          <w:rFonts w:asciiTheme="minorEastAsia" w:eastAsiaTheme="minorEastAsia" w:hAnsiTheme="minorEastAsia" w:hint="eastAsia"/>
          <w:sz w:val="21"/>
          <w:szCs w:val="21"/>
        </w:rPr>
        <w:t>》</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005023C4"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005023C4" w:rsidRPr="000E259C">
        <w:rPr>
          <w:rFonts w:ascii="Times New Roman" w:eastAsiaTheme="minorEastAsia" w:hAnsi="Times New Roman" w:cs="Times New Roman" w:hint="eastAsia"/>
          <w:sz w:val="21"/>
          <w:szCs w:val="21"/>
        </w:rPr>
        <w:t>22</w:t>
      </w:r>
      <w:r w:rsidRPr="000E259C">
        <w:rPr>
          <w:rFonts w:ascii="Times New Roman" w:eastAsiaTheme="minorEastAsia" w:hAnsi="Times New Roman" w:cs="Times New Roman"/>
          <w:sz w:val="21"/>
          <w:szCs w:val="21"/>
        </w:rPr>
        <w:t>日）</w:t>
      </w:r>
    </w:p>
    <w:p w:rsidR="00C30AFF" w:rsidRPr="000E259C" w:rsidRDefault="00AE0E63" w:rsidP="008C5A90">
      <w:pPr>
        <w:pStyle w:val="a6"/>
        <w:spacing w:beforeLines="50" w:before="120" w:beforeAutospacing="0" w:afterLines="0" w:afterAutospacing="0" w:line="324" w:lineRule="auto"/>
        <w:rPr>
          <w:rFonts w:ascii="Times New Roman" w:eastAsiaTheme="minorEastAsia" w:hAnsi="Times New Roman" w:cs="Times New Roman"/>
          <w:sz w:val="21"/>
          <w:szCs w:val="21"/>
        </w:rPr>
      </w:pPr>
      <w:r w:rsidRPr="00FA084F">
        <w:rPr>
          <w:rFonts w:asciiTheme="minorEastAsia" w:eastAsiaTheme="minorEastAsia" w:hAnsiTheme="minorEastAsia" w:hint="eastAsia"/>
          <w:b/>
          <w:bCs/>
        </w:rPr>
        <w:t>▲</w:t>
      </w:r>
      <w:r w:rsidR="005023C4" w:rsidRPr="005023C4">
        <w:rPr>
          <w:rFonts w:asciiTheme="minorEastAsia" w:eastAsiaTheme="minorEastAsia" w:hAnsiTheme="minorEastAsia"/>
          <w:b/>
          <w:bCs/>
        </w:rPr>
        <w:t>西南交通大学积极构建以学生为中心的课程教学改革与创新机制</w:t>
      </w:r>
      <w:r w:rsidR="005023C4">
        <w:rPr>
          <w:rFonts w:asciiTheme="minorEastAsia" w:eastAsiaTheme="minorEastAsia" w:hAnsiTheme="minorEastAsia" w:hint="eastAsia"/>
          <w:b/>
          <w:bCs/>
        </w:rPr>
        <w:t xml:space="preserve"> </w:t>
      </w:r>
      <w:r w:rsidR="005023C4">
        <w:rPr>
          <w:rFonts w:asciiTheme="minorEastAsia" w:eastAsiaTheme="minorEastAsia" w:hAnsiTheme="minorEastAsia" w:hint="eastAsia"/>
          <w:sz w:val="21"/>
          <w:szCs w:val="21"/>
        </w:rPr>
        <w:t>近日，</w:t>
      </w:r>
      <w:r w:rsidR="005023C4" w:rsidRPr="005023C4">
        <w:rPr>
          <w:rFonts w:asciiTheme="minorEastAsia" w:eastAsiaTheme="minorEastAsia" w:hAnsiTheme="minorEastAsia"/>
          <w:sz w:val="21"/>
          <w:szCs w:val="21"/>
        </w:rPr>
        <w:t>西南交通大学以立德树人为根本，紧密围绕课程教学，系统布局、科学探索、积极实践，全面凸显以“学”为中心的教学理念，构建以学生为中心的课程教学改革与创新机制。</w:t>
      </w:r>
      <w:r w:rsidR="005023C4">
        <w:rPr>
          <w:rFonts w:asciiTheme="minorEastAsia" w:eastAsiaTheme="minorEastAsia" w:hAnsiTheme="minorEastAsia" w:hint="eastAsia"/>
          <w:sz w:val="21"/>
          <w:szCs w:val="21"/>
        </w:rPr>
        <w:t>（一）</w:t>
      </w:r>
      <w:r w:rsidR="005023C4" w:rsidRPr="005023C4">
        <w:rPr>
          <w:rFonts w:asciiTheme="minorEastAsia" w:eastAsiaTheme="minorEastAsia" w:hAnsiTheme="minorEastAsia"/>
          <w:sz w:val="21"/>
          <w:szCs w:val="21"/>
        </w:rPr>
        <w:t>构建基于行动研究的课程教学创新体系。通过凝练教学共性问题，依托各类课程建设与改革项目引导教师合作，推动教学单位与职能业务部门协作支持，藉由教学论坛、工作坊、研讨班等推广校本教研成果、指导教师开展教学创新，建立起“问题驱动—合作研究—多方协作—校本成果”四位一体课程教学创新体系。</w:t>
      </w:r>
      <w:r w:rsidR="005023C4">
        <w:rPr>
          <w:rFonts w:asciiTheme="minorEastAsia" w:eastAsiaTheme="minorEastAsia" w:hAnsiTheme="minorEastAsia" w:hint="eastAsia"/>
          <w:sz w:val="21"/>
          <w:szCs w:val="21"/>
        </w:rPr>
        <w:t>（二）</w:t>
      </w:r>
      <w:r w:rsidR="005023C4" w:rsidRPr="005023C4">
        <w:rPr>
          <w:rFonts w:asciiTheme="minorEastAsia" w:eastAsiaTheme="minorEastAsia" w:hAnsiTheme="minorEastAsia"/>
          <w:sz w:val="21"/>
          <w:szCs w:val="21"/>
        </w:rPr>
        <w:t>构建信息技术与课程教学融合的服务体系。以“建用结合”为原则，推进在线课程资源建设，开发高铁、力学等系列在线课程，推进土木工程、电气工程及其自动化、会计学等“爱课程”平台微专业”建设。研发信息化教学服务平台案例，建立全方位、立体式、智慧型教与学信息化服务平台。</w:t>
      </w:r>
      <w:r w:rsidR="005023C4">
        <w:rPr>
          <w:rFonts w:asciiTheme="minorEastAsia" w:eastAsiaTheme="minorEastAsia" w:hAnsiTheme="minorEastAsia" w:hint="eastAsia"/>
          <w:sz w:val="21"/>
          <w:szCs w:val="21"/>
        </w:rPr>
        <w:t>（三）</w:t>
      </w:r>
      <w:r w:rsidR="005023C4" w:rsidRPr="005023C4">
        <w:rPr>
          <w:rFonts w:asciiTheme="minorEastAsia" w:eastAsiaTheme="minorEastAsia" w:hAnsiTheme="minorEastAsia"/>
          <w:sz w:val="21"/>
          <w:szCs w:val="21"/>
        </w:rPr>
        <w:t>构建卓越“教”与“学”支持体系。邀请国内外教育专家讲学，定期举办院长论坛、课程改革与教学创新论坛、教学研讨会、教学工作坊、课程评估培训会，举行教师教学能力专业化发展经验报告会，实施教师能力系列提升计划，打造“互联网+课程”论坛，利用新媒体常态化发布教师教学创新案例和教改书籍等，营造“质量+创新”教学文化氛围，提升教师追求卓越教学原动力和幸福感。</w:t>
      </w:r>
      <w:r w:rsidRPr="00881460">
        <w:rPr>
          <w:rFonts w:asciiTheme="minorEastAsia" w:eastAsiaTheme="minorEastAsia" w:hAnsiTheme="minorEastAsia" w:hint="eastAsia"/>
          <w:sz w:val="21"/>
          <w:szCs w:val="21"/>
        </w:rPr>
        <w:t>来源：《</w:t>
      </w:r>
      <w:r w:rsidR="005023C4">
        <w:rPr>
          <w:rFonts w:asciiTheme="minorEastAsia" w:eastAsiaTheme="minorEastAsia" w:hAnsiTheme="minorEastAsia" w:hint="eastAsia"/>
          <w:sz w:val="21"/>
          <w:szCs w:val="21"/>
        </w:rPr>
        <w:t>教育部网站</w:t>
      </w:r>
      <w:r w:rsidRPr="00881460">
        <w:rPr>
          <w:rFonts w:asciiTheme="minorEastAsia" w:eastAsiaTheme="minorEastAsia" w:hAnsiTheme="minorEastAsia" w:hint="eastAsia"/>
          <w:sz w:val="21"/>
          <w:szCs w:val="21"/>
        </w:rPr>
        <w:t>》</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005023C4"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00302D66" w:rsidRPr="000E259C">
        <w:rPr>
          <w:rFonts w:ascii="Times New Roman" w:eastAsiaTheme="minorEastAsia" w:hAnsi="Times New Roman" w:cs="Times New Roman" w:hint="eastAsia"/>
          <w:sz w:val="21"/>
          <w:szCs w:val="21"/>
        </w:rPr>
        <w:t>1</w:t>
      </w:r>
      <w:r w:rsidR="005023C4" w:rsidRPr="000E259C">
        <w:rPr>
          <w:rFonts w:ascii="Times New Roman" w:eastAsiaTheme="minorEastAsia" w:hAnsi="Times New Roman" w:cs="Times New Roman" w:hint="eastAsia"/>
          <w:sz w:val="21"/>
          <w:szCs w:val="21"/>
        </w:rPr>
        <w:t>2</w:t>
      </w:r>
      <w:r w:rsidRPr="000E259C">
        <w:rPr>
          <w:rFonts w:ascii="Times New Roman" w:eastAsiaTheme="minorEastAsia" w:hAnsi="Times New Roman" w:cs="Times New Roman"/>
          <w:sz w:val="21"/>
          <w:szCs w:val="21"/>
        </w:rPr>
        <w:t>日）</w:t>
      </w:r>
    </w:p>
    <w:p w:rsidR="005543D3" w:rsidRPr="000E259C" w:rsidRDefault="005543D3" w:rsidP="008C5A90">
      <w:pPr>
        <w:pStyle w:val="a6"/>
        <w:spacing w:beforeLines="50" w:before="120" w:beforeAutospacing="0" w:afterLines="0" w:afterAutospacing="0" w:line="324" w:lineRule="auto"/>
        <w:rPr>
          <w:rFonts w:ascii="Times New Roman" w:eastAsiaTheme="minorEastAsia" w:hAnsi="Times New Roman" w:cs="Times New Roman"/>
          <w:sz w:val="21"/>
          <w:szCs w:val="21"/>
        </w:rPr>
      </w:pPr>
      <w:r w:rsidRPr="00FA084F">
        <w:rPr>
          <w:rFonts w:asciiTheme="minorEastAsia" w:eastAsiaTheme="minorEastAsia" w:hAnsiTheme="minorEastAsia" w:hint="eastAsia"/>
          <w:b/>
          <w:bCs/>
        </w:rPr>
        <w:t>▲</w:t>
      </w:r>
      <w:r w:rsidRPr="005543D3">
        <w:rPr>
          <w:rFonts w:asciiTheme="minorEastAsia" w:eastAsiaTheme="minorEastAsia" w:hAnsiTheme="minorEastAsia"/>
          <w:b/>
          <w:bCs/>
        </w:rPr>
        <w:t>西南石油大学扎实推进易班建设</w:t>
      </w:r>
      <w:r>
        <w:rPr>
          <w:rFonts w:asciiTheme="minorEastAsia" w:eastAsiaTheme="minorEastAsia" w:hAnsiTheme="minorEastAsia" w:hint="eastAsia"/>
          <w:b/>
          <w:bCs/>
        </w:rPr>
        <w:t xml:space="preserve"> </w:t>
      </w:r>
      <w:r w:rsidRPr="005543D3">
        <w:rPr>
          <w:rFonts w:asciiTheme="minorEastAsia" w:eastAsiaTheme="minorEastAsia" w:hAnsiTheme="minorEastAsia" w:hint="eastAsia"/>
          <w:sz w:val="21"/>
          <w:szCs w:val="21"/>
        </w:rPr>
        <w:t>近日，</w:t>
      </w:r>
      <w:r w:rsidRPr="005543D3">
        <w:rPr>
          <w:rFonts w:asciiTheme="minorEastAsia" w:eastAsiaTheme="minorEastAsia" w:hAnsiTheme="minorEastAsia"/>
          <w:sz w:val="21"/>
          <w:szCs w:val="21"/>
        </w:rPr>
        <w:t>西南石油大学认真贯彻落实全国教育大会和全国高校思政工作会议精神，把易班作为加强和改进新形势下高校思想政治工作的重要载体，广泛开展主</w:t>
      </w:r>
      <w:r w:rsidRPr="005543D3">
        <w:rPr>
          <w:rFonts w:asciiTheme="minorEastAsia" w:eastAsiaTheme="minorEastAsia" w:hAnsiTheme="minorEastAsia"/>
          <w:sz w:val="21"/>
          <w:szCs w:val="21"/>
        </w:rPr>
        <w:lastRenderedPageBreak/>
        <w:t>题突出、内容丰富、形式多样的线上线下活动，着力提高思想政治工作针对性、实效性。</w:t>
      </w:r>
      <w:r>
        <w:rPr>
          <w:rFonts w:asciiTheme="minorEastAsia" w:eastAsiaTheme="minorEastAsia" w:hAnsiTheme="minorEastAsia" w:hint="eastAsia"/>
          <w:sz w:val="21"/>
          <w:szCs w:val="21"/>
        </w:rPr>
        <w:t>（一）</w:t>
      </w:r>
      <w:r w:rsidRPr="005543D3">
        <w:rPr>
          <w:rFonts w:asciiTheme="minorEastAsia" w:eastAsiaTheme="minorEastAsia" w:hAnsiTheme="minorEastAsia"/>
          <w:sz w:val="21"/>
          <w:szCs w:val="21"/>
        </w:rPr>
        <w:t>完善工作机制。成立易班建设领导小组，统筹抓好校、院两级易班建设，探索形成以易班发展中心为“主体”，以易班发展中心办公室、易班学生工作站、易班体验中心为“三翼”的工作格局。</w:t>
      </w:r>
      <w:r>
        <w:rPr>
          <w:rFonts w:asciiTheme="minorEastAsia" w:eastAsiaTheme="minorEastAsia" w:hAnsiTheme="minorEastAsia" w:hint="eastAsia"/>
          <w:sz w:val="21"/>
          <w:szCs w:val="21"/>
        </w:rPr>
        <w:t>（二）</w:t>
      </w:r>
      <w:r w:rsidRPr="005543D3">
        <w:rPr>
          <w:rFonts w:asciiTheme="minorEastAsia" w:eastAsiaTheme="minorEastAsia" w:hAnsiTheme="minorEastAsia"/>
          <w:sz w:val="21"/>
          <w:szCs w:val="21"/>
        </w:rPr>
        <w:t>强化思想引领。组建易班指导教师工作队伍，以易班平台为学校党建和思政工作重要载体，鼓励辅导员等学工队伍利用易班平台写好思想政治教育大文章。</w:t>
      </w:r>
      <w:r>
        <w:rPr>
          <w:rFonts w:asciiTheme="minorEastAsia" w:eastAsiaTheme="minorEastAsia" w:hAnsiTheme="minorEastAsia" w:hint="eastAsia"/>
          <w:sz w:val="21"/>
          <w:szCs w:val="21"/>
        </w:rPr>
        <w:t>（三）</w:t>
      </w:r>
      <w:r w:rsidRPr="005543D3">
        <w:rPr>
          <w:rFonts w:asciiTheme="minorEastAsia" w:eastAsiaTheme="minorEastAsia" w:hAnsiTheme="minorEastAsia"/>
          <w:sz w:val="21"/>
          <w:szCs w:val="21"/>
        </w:rPr>
        <w:t>培养学生骨干。依托</w:t>
      </w:r>
      <w:r w:rsidRPr="000E259C">
        <w:rPr>
          <w:rFonts w:ascii="Times New Roman" w:eastAsiaTheme="minorEastAsia" w:hAnsi="Times New Roman" w:cs="Times New Roman"/>
          <w:sz w:val="21"/>
          <w:szCs w:val="21"/>
        </w:rPr>
        <w:t>1</w:t>
      </w:r>
      <w:r w:rsidRPr="000E259C">
        <w:rPr>
          <w:rFonts w:ascii="Times New Roman" w:eastAsiaTheme="minorEastAsia" w:hAnsi="Times New Roman" w:cs="Times New Roman"/>
          <w:sz w:val="21"/>
          <w:szCs w:val="21"/>
        </w:rPr>
        <w:t>个</w:t>
      </w:r>
      <w:r w:rsidRPr="005543D3">
        <w:rPr>
          <w:rFonts w:asciiTheme="minorEastAsia" w:eastAsiaTheme="minorEastAsia" w:hAnsiTheme="minorEastAsia"/>
          <w:sz w:val="21"/>
          <w:szCs w:val="21"/>
        </w:rPr>
        <w:t>校级易班学生工作站、</w:t>
      </w:r>
      <w:r w:rsidRPr="000E259C">
        <w:rPr>
          <w:rFonts w:ascii="Times New Roman" w:eastAsiaTheme="minorEastAsia" w:hAnsi="Times New Roman" w:cs="Times New Roman"/>
          <w:sz w:val="21"/>
          <w:szCs w:val="21"/>
        </w:rPr>
        <w:t>16</w:t>
      </w:r>
      <w:r w:rsidRPr="000E259C">
        <w:rPr>
          <w:rFonts w:ascii="Times New Roman" w:eastAsiaTheme="minorEastAsia" w:hAnsi="Times New Roman" w:cs="Times New Roman"/>
          <w:sz w:val="21"/>
          <w:szCs w:val="21"/>
        </w:rPr>
        <w:t>个</w:t>
      </w:r>
      <w:r w:rsidRPr="005543D3">
        <w:rPr>
          <w:rFonts w:asciiTheme="minorEastAsia" w:eastAsiaTheme="minorEastAsia" w:hAnsiTheme="minorEastAsia"/>
          <w:sz w:val="21"/>
          <w:szCs w:val="21"/>
        </w:rPr>
        <w:t>院级易班分站，广泛开展学生骨干培养工作。通过集中学习、观看视频、案例分析、座谈交流、现场咨询等形式，提升易班学生骨干整体素质和业务能力。</w:t>
      </w:r>
      <w:r w:rsidRPr="00881460">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0E259C">
        <w:rPr>
          <w:rFonts w:ascii="Times New Roman" w:eastAsiaTheme="minorEastAsia" w:hAnsi="Times New Roman" w:cs="Times New Roman" w:hint="eastAsia"/>
          <w:sz w:val="21"/>
          <w:szCs w:val="21"/>
        </w:rPr>
        <w:t>》</w:t>
      </w:r>
      <w:r w:rsidRPr="000E259C">
        <w:rPr>
          <w:rFonts w:ascii="Times New Roman" w:eastAsiaTheme="minorEastAsia" w:hAnsi="Times New Roman" w:cs="Times New Roman"/>
          <w:sz w:val="21"/>
          <w:szCs w:val="21"/>
        </w:rPr>
        <w:t>（</w:t>
      </w:r>
      <w:r w:rsidRPr="000E259C">
        <w:rPr>
          <w:rFonts w:ascii="Times New Roman" w:eastAsiaTheme="minorEastAsia" w:hAnsi="Times New Roman" w:cs="Times New Roman"/>
          <w:sz w:val="21"/>
          <w:szCs w:val="21"/>
        </w:rPr>
        <w:t>2018</w:t>
      </w:r>
      <w:r w:rsidRPr="000E259C">
        <w:rPr>
          <w:rFonts w:ascii="Times New Roman" w:eastAsiaTheme="minorEastAsia" w:hAnsi="Times New Roman" w:cs="Times New Roman"/>
          <w:sz w:val="21"/>
          <w:szCs w:val="21"/>
        </w:rPr>
        <w:t>年</w:t>
      </w:r>
      <w:r w:rsidRPr="000E259C">
        <w:rPr>
          <w:rFonts w:ascii="Times New Roman" w:eastAsiaTheme="minorEastAsia" w:hAnsi="Times New Roman" w:cs="Times New Roman" w:hint="eastAsia"/>
          <w:sz w:val="21"/>
          <w:szCs w:val="21"/>
        </w:rPr>
        <w:t>10</w:t>
      </w:r>
      <w:r w:rsidRPr="000E259C">
        <w:rPr>
          <w:rFonts w:ascii="Times New Roman" w:eastAsiaTheme="minorEastAsia" w:hAnsi="Times New Roman" w:cs="Times New Roman"/>
          <w:sz w:val="21"/>
          <w:szCs w:val="21"/>
        </w:rPr>
        <w:t>月</w:t>
      </w:r>
      <w:r w:rsidRPr="000E259C">
        <w:rPr>
          <w:rFonts w:ascii="Times New Roman" w:eastAsiaTheme="minorEastAsia" w:hAnsi="Times New Roman" w:cs="Times New Roman" w:hint="eastAsia"/>
          <w:sz w:val="21"/>
          <w:szCs w:val="21"/>
        </w:rPr>
        <w:t>17</w:t>
      </w:r>
      <w:r w:rsidRPr="000E259C">
        <w:rPr>
          <w:rFonts w:ascii="Times New Roman" w:eastAsiaTheme="minorEastAsia" w:hAnsi="Times New Roman" w:cs="Times New Roman"/>
          <w:sz w:val="21"/>
          <w:szCs w:val="21"/>
        </w:rPr>
        <w:t>日）</w:t>
      </w:r>
    </w:p>
    <w:p w:rsidR="00DC3217" w:rsidRPr="000E259C" w:rsidRDefault="00C30AFF" w:rsidP="008C5A90">
      <w:pPr>
        <w:pStyle w:val="a6"/>
        <w:spacing w:beforeLines="50" w:before="120" w:beforeAutospacing="0" w:afterLines="0" w:afterAutospacing="0" w:line="324" w:lineRule="auto"/>
        <w:rPr>
          <w:rFonts w:ascii="Times New Roman" w:eastAsiaTheme="minorEastAsia" w:hAnsi="Times New Roman" w:cs="Times New Roman"/>
          <w:sz w:val="21"/>
          <w:szCs w:val="21"/>
        </w:rPr>
      </w:pPr>
      <w:r w:rsidRPr="00FA084F">
        <w:rPr>
          <w:rFonts w:asciiTheme="minorEastAsia" w:eastAsiaTheme="minorEastAsia" w:hAnsiTheme="minorEastAsia" w:hint="eastAsia"/>
          <w:b/>
          <w:bCs/>
        </w:rPr>
        <w:t>▲</w:t>
      </w:r>
      <w:r w:rsidRPr="00C30AFF">
        <w:rPr>
          <w:rFonts w:asciiTheme="minorEastAsia" w:eastAsiaTheme="minorEastAsia" w:hAnsiTheme="minorEastAsia"/>
          <w:b/>
          <w:bCs/>
        </w:rPr>
        <w:t>湖北大学与应城市签署战略合作协议</w:t>
      </w:r>
      <w:r>
        <w:rPr>
          <w:rFonts w:asciiTheme="minorEastAsia" w:eastAsiaTheme="minorEastAsia" w:hAnsiTheme="minorEastAsia" w:hint="eastAsia"/>
          <w:b/>
          <w:bCs/>
        </w:rPr>
        <w:t xml:space="preserve"> </w:t>
      </w:r>
      <w:r>
        <w:rPr>
          <w:rFonts w:asciiTheme="minorEastAsia" w:eastAsiaTheme="minorEastAsia" w:hAnsiTheme="minorEastAsia" w:hint="eastAsia"/>
          <w:sz w:val="21"/>
          <w:szCs w:val="21"/>
        </w:rPr>
        <w:t>近日，湖北大学与</w:t>
      </w:r>
      <w:r w:rsidRPr="00C30AFF">
        <w:rPr>
          <w:rFonts w:asciiTheme="minorEastAsia" w:eastAsiaTheme="minorEastAsia" w:hAnsiTheme="minorEastAsia"/>
          <w:sz w:val="21"/>
          <w:szCs w:val="21"/>
        </w:rPr>
        <w:t>应城市签署市校战略合作协议。据悉，本次市校战略合作内容包括：合作共建智库咨询平台，合作共建创新发展平台，合作共建“四个基地”。其中，合作共建“四个基地”包括加强人才输送对接，将应城高中建设成为学校的优质生源基地；加强人才培养对接，将应城市建设成为学校的研学旅行基地；加强人才运用对接，将应城市建设成为学校的实习实训就业基地；加强校企合作对接，将应城市建设成为学校的科研成果转化基地并合作共建大学科技产业园。尚钢表示，近年来，湖北大学以科学发展为主题，以提高核心竞争力为主线，以全面深化改革为动力，不断增强服务湖北经济社会发展的能力。签署市校战略合作协议，是湖北大学与应城市深化合作、实现双赢的重要措施，也是湖北大学与应城市企业合作的新起点，期待校地、校企双方在诸多领域涌现出新的合作。希望学校专家教授充分发挥桥梁和纽带作用，主动融入、主动对接、主动服务，把产学研合作、成果转化工作落到实处。</w:t>
      </w:r>
      <w:r w:rsidR="005543D3" w:rsidRPr="00881460">
        <w:rPr>
          <w:rFonts w:asciiTheme="minorEastAsia" w:eastAsiaTheme="minorEastAsia" w:hAnsiTheme="minorEastAsia" w:hint="eastAsia"/>
          <w:sz w:val="21"/>
          <w:szCs w:val="21"/>
        </w:rPr>
        <w:t>来源：《</w:t>
      </w:r>
      <w:r w:rsidR="00966BCC">
        <w:rPr>
          <w:rFonts w:asciiTheme="minorEastAsia" w:eastAsiaTheme="minorEastAsia" w:hAnsiTheme="minorEastAsia" w:hint="eastAsia"/>
          <w:sz w:val="21"/>
          <w:szCs w:val="21"/>
        </w:rPr>
        <w:t>湖北大学新闻网</w:t>
      </w:r>
      <w:r w:rsidR="005543D3" w:rsidRPr="00881460">
        <w:rPr>
          <w:rFonts w:asciiTheme="minorEastAsia" w:eastAsiaTheme="minorEastAsia" w:hAnsiTheme="minorEastAsia" w:hint="eastAsia"/>
          <w:sz w:val="21"/>
          <w:szCs w:val="21"/>
        </w:rPr>
        <w:t>》</w:t>
      </w:r>
      <w:r w:rsidR="005543D3" w:rsidRPr="000E259C">
        <w:rPr>
          <w:rFonts w:ascii="Times New Roman" w:eastAsiaTheme="minorEastAsia" w:hAnsi="Times New Roman" w:cs="Times New Roman"/>
          <w:sz w:val="21"/>
          <w:szCs w:val="21"/>
        </w:rPr>
        <w:t>（</w:t>
      </w:r>
      <w:r w:rsidR="005543D3" w:rsidRPr="000E259C">
        <w:rPr>
          <w:rFonts w:ascii="Times New Roman" w:eastAsiaTheme="minorEastAsia" w:hAnsi="Times New Roman" w:cs="Times New Roman"/>
          <w:sz w:val="21"/>
          <w:szCs w:val="21"/>
        </w:rPr>
        <w:t>2018</w:t>
      </w:r>
      <w:r w:rsidR="005543D3" w:rsidRPr="000E259C">
        <w:rPr>
          <w:rFonts w:ascii="Times New Roman" w:eastAsiaTheme="minorEastAsia" w:hAnsi="Times New Roman" w:cs="Times New Roman"/>
          <w:sz w:val="21"/>
          <w:szCs w:val="21"/>
        </w:rPr>
        <w:t>年</w:t>
      </w:r>
      <w:r w:rsidR="005543D3" w:rsidRPr="000E259C">
        <w:rPr>
          <w:rFonts w:ascii="Times New Roman" w:eastAsiaTheme="minorEastAsia" w:hAnsi="Times New Roman" w:cs="Times New Roman" w:hint="eastAsia"/>
          <w:sz w:val="21"/>
          <w:szCs w:val="21"/>
        </w:rPr>
        <w:t>10</w:t>
      </w:r>
      <w:r w:rsidR="005543D3" w:rsidRPr="000E259C">
        <w:rPr>
          <w:rFonts w:ascii="Times New Roman" w:eastAsiaTheme="minorEastAsia" w:hAnsi="Times New Roman" w:cs="Times New Roman"/>
          <w:sz w:val="21"/>
          <w:szCs w:val="21"/>
        </w:rPr>
        <w:t>月</w:t>
      </w:r>
      <w:r w:rsidR="005543D3" w:rsidRPr="000E259C">
        <w:rPr>
          <w:rFonts w:ascii="Times New Roman" w:eastAsiaTheme="minorEastAsia" w:hAnsi="Times New Roman" w:cs="Times New Roman" w:hint="eastAsia"/>
          <w:sz w:val="21"/>
          <w:szCs w:val="21"/>
        </w:rPr>
        <w:t>1</w:t>
      </w:r>
      <w:r w:rsidR="00966BCC">
        <w:rPr>
          <w:rFonts w:ascii="Times New Roman" w:eastAsiaTheme="minorEastAsia" w:hAnsi="Times New Roman" w:cs="Times New Roman" w:hint="eastAsia"/>
          <w:sz w:val="21"/>
          <w:szCs w:val="21"/>
        </w:rPr>
        <w:t>6</w:t>
      </w:r>
      <w:r w:rsidR="000E259C" w:rsidRPr="000E259C">
        <w:rPr>
          <w:rFonts w:ascii="Times New Roman" w:eastAsiaTheme="minorEastAsia" w:hAnsi="Times New Roman" w:cs="Times New Roman"/>
          <w:sz w:val="21"/>
          <w:szCs w:val="21"/>
        </w:rPr>
        <w:t>日）</w:t>
      </w:r>
    </w:p>
    <w:p w:rsidR="00DC3217" w:rsidRDefault="00DC3217" w:rsidP="008C5A90">
      <w:pPr>
        <w:adjustRightInd/>
        <w:snapToGrid/>
        <w:spacing w:beforeLines="50" w:before="120" w:afterLines="0" w:line="348" w:lineRule="auto"/>
        <w:rPr>
          <w:rFonts w:ascii="黑体" w:eastAsia="黑体" w:hAnsi="黑体" w:cs="宋体"/>
          <w:color w:val="000000"/>
          <w:sz w:val="29"/>
          <w:szCs w:val="29"/>
        </w:rPr>
      </w:pPr>
    </w:p>
    <w:p w:rsidR="005543D3" w:rsidRDefault="005543D3" w:rsidP="008C5A90">
      <w:pPr>
        <w:adjustRightInd/>
        <w:snapToGrid/>
        <w:spacing w:beforeLines="50" w:before="120" w:afterLines="0" w:line="348" w:lineRule="auto"/>
        <w:rPr>
          <w:rFonts w:ascii="黑体" w:eastAsia="黑体" w:hAnsi="黑体" w:cs="宋体"/>
          <w:color w:val="000000"/>
          <w:sz w:val="29"/>
          <w:szCs w:val="29"/>
        </w:rPr>
      </w:pPr>
    </w:p>
    <w:p w:rsidR="0067352B" w:rsidRDefault="0067352B" w:rsidP="008C5A90">
      <w:pPr>
        <w:adjustRightInd/>
        <w:snapToGrid/>
        <w:spacing w:beforeLines="50" w:before="120" w:afterLines="0" w:line="348" w:lineRule="auto"/>
        <w:rPr>
          <w:rFonts w:ascii="黑体" w:eastAsia="黑体" w:hAnsi="黑体" w:cs="宋体"/>
          <w:color w:val="000000"/>
          <w:sz w:val="29"/>
          <w:szCs w:val="29"/>
        </w:rPr>
      </w:pPr>
      <w:bookmarkStart w:id="0" w:name="_GoBack"/>
      <w:bookmarkEnd w:id="0"/>
    </w:p>
    <w:p w:rsidR="0067352B" w:rsidRDefault="0067352B" w:rsidP="008C5A90">
      <w:pPr>
        <w:adjustRightInd/>
        <w:snapToGrid/>
        <w:spacing w:beforeLines="50" w:before="120" w:afterLines="0" w:line="348" w:lineRule="auto"/>
        <w:rPr>
          <w:rFonts w:ascii="黑体" w:eastAsia="黑体" w:hAnsi="黑体" w:cs="宋体"/>
          <w:color w:val="000000"/>
          <w:sz w:val="29"/>
          <w:szCs w:val="29"/>
        </w:rPr>
      </w:pPr>
    </w:p>
    <w:p w:rsidR="006665B1" w:rsidRDefault="006665B1" w:rsidP="008C5A90">
      <w:pPr>
        <w:adjustRightInd/>
        <w:snapToGrid/>
        <w:spacing w:beforeLines="50" w:before="120" w:afterLines="0" w:line="348" w:lineRule="auto"/>
        <w:rPr>
          <w:rFonts w:ascii="黑体" w:eastAsia="黑体" w:hAnsi="黑体" w:cs="宋体"/>
          <w:color w:val="000000"/>
          <w:sz w:val="29"/>
          <w:szCs w:val="29"/>
        </w:rPr>
      </w:pPr>
    </w:p>
    <w:p w:rsidR="0067352B" w:rsidRDefault="0067352B" w:rsidP="008C5A90">
      <w:pPr>
        <w:adjustRightInd/>
        <w:snapToGrid/>
        <w:spacing w:beforeLines="50" w:before="120" w:afterLines="0" w:line="348" w:lineRule="auto"/>
        <w:rPr>
          <w:rFonts w:ascii="黑体" w:eastAsia="黑体" w:hAnsi="黑体" w:cs="宋体"/>
          <w:color w:val="000000"/>
          <w:sz w:val="29"/>
          <w:szCs w:val="29"/>
        </w:rPr>
      </w:pPr>
    </w:p>
    <w:tbl>
      <w:tblPr>
        <w:tblW w:w="9177" w:type="dxa"/>
        <w:tblCellSpacing w:w="0" w:type="dxa"/>
        <w:tblLayout w:type="fixed"/>
        <w:tblCellMar>
          <w:left w:w="0" w:type="dxa"/>
          <w:right w:w="0" w:type="dxa"/>
        </w:tblCellMar>
        <w:tblLook w:val="04A0" w:firstRow="1" w:lastRow="0" w:firstColumn="1" w:lastColumn="0" w:noHBand="0" w:noVBand="1"/>
      </w:tblPr>
      <w:tblGrid>
        <w:gridCol w:w="956"/>
        <w:gridCol w:w="3260"/>
        <w:gridCol w:w="1134"/>
        <w:gridCol w:w="3827"/>
      </w:tblGrid>
      <w:tr w:rsidR="00890DF6">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主</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地</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武汉轻工大学常青校区行政楼</w:t>
            </w:r>
            <w:r>
              <w:rPr>
                <w:rFonts w:ascii="Times New Roman" w:eastAsia="宋体" w:hAnsi="Times New Roman" w:cs="Times New Roman"/>
                <w:color w:val="000000"/>
                <w:sz w:val="21"/>
                <w:szCs w:val="21"/>
              </w:rPr>
              <w:t>620</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rsidP="008C5A90">
            <w:pPr>
              <w:adjustRightInd/>
              <w:snapToGrid/>
              <w:spacing w:beforeLines="50" w:before="120"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rsidP="008C5A90">
            <w:pPr>
              <w:adjustRightInd/>
              <w:snapToGrid/>
              <w:spacing w:beforeLines="50" w:before="120" w:afterLines="0" w:line="300" w:lineRule="auto"/>
              <w:rPr>
                <w:rFonts w:ascii="宋体" w:eastAsia="宋体" w:hAnsi="宋体" w:cs="宋体"/>
                <w:color w:val="000000"/>
                <w:sz w:val="21"/>
                <w:szCs w:val="21"/>
              </w:rPr>
            </w:pP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编</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官</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邮</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430023</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rsidP="008C5A90">
            <w:pPr>
              <w:adjustRightInd/>
              <w:snapToGrid/>
              <w:spacing w:beforeLines="50" w:before="120"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fgc@whpu.edu.cn</w:t>
            </w:r>
          </w:p>
        </w:tc>
      </w:tr>
      <w:tr w:rsidR="00890DF6">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890DF6" w:rsidP="008C5A90">
            <w:pPr>
              <w:adjustRightInd/>
              <w:snapToGrid/>
              <w:spacing w:beforeLines="50" w:before="120"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电</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rsidP="008C5A90">
            <w:pPr>
              <w:adjustRightInd/>
              <w:snapToGrid/>
              <w:spacing w:beforeLines="50" w:before="120"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83927097</w:t>
            </w:r>
          </w:p>
        </w:tc>
      </w:tr>
    </w:tbl>
    <w:p w:rsidR="00890DF6" w:rsidRDefault="00890DF6" w:rsidP="00476016">
      <w:pPr>
        <w:spacing w:beforeLines="50" w:before="120" w:afterLines="0" w:line="24" w:lineRule="auto"/>
        <w:rPr>
          <w:sz w:val="10"/>
          <w:szCs w:val="10"/>
        </w:rPr>
      </w:pPr>
    </w:p>
    <w:sectPr w:rsidR="00890DF6" w:rsidSect="00890DF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B9" w:rsidRDefault="002234B9" w:rsidP="00E3217D">
      <w:pPr>
        <w:spacing w:after="240"/>
      </w:pPr>
      <w:r>
        <w:separator/>
      </w:r>
    </w:p>
  </w:endnote>
  <w:endnote w:type="continuationSeparator" w:id="0">
    <w:p w:rsidR="002234B9" w:rsidRDefault="002234B9" w:rsidP="00E3217D">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6" w:rsidRDefault="00890DF6">
    <w:pPr>
      <w:pStyle w:val="a4"/>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38673"/>
    </w:sdtPr>
    <w:sdtEndPr>
      <w:rPr>
        <w:rFonts w:ascii="Times New Roman" w:hAnsi="Times New Roman" w:cs="Times New Roman"/>
      </w:rPr>
    </w:sdtEndPr>
    <w:sdtContent>
      <w:p w:rsidR="00890DF6" w:rsidRDefault="00B73235">
        <w:pPr>
          <w:pStyle w:val="a4"/>
          <w:spacing w:after="240"/>
          <w:jc w:val="center"/>
          <w:rPr>
            <w:rFonts w:ascii="Times New Roman" w:hAnsi="Times New Roman" w:cs="Times New Roman"/>
          </w:rPr>
        </w:pPr>
        <w:r>
          <w:rPr>
            <w:rFonts w:ascii="Times New Roman" w:hAnsi="Times New Roman" w:cs="Times New Roman"/>
          </w:rPr>
          <w:fldChar w:fldCharType="begin"/>
        </w:r>
        <w:r w:rsidR="00AF5955">
          <w:rPr>
            <w:rFonts w:ascii="Times New Roman" w:hAnsi="Times New Roman" w:cs="Times New Roman"/>
          </w:rPr>
          <w:instrText>PAGE   \* MERGEFORMAT</w:instrText>
        </w:r>
        <w:r>
          <w:rPr>
            <w:rFonts w:ascii="Times New Roman" w:hAnsi="Times New Roman" w:cs="Times New Roman"/>
          </w:rPr>
          <w:fldChar w:fldCharType="separate"/>
        </w:r>
        <w:r w:rsidR="00966BCC" w:rsidRPr="00966BCC">
          <w:rPr>
            <w:rFonts w:ascii="Times New Roman" w:hAnsi="Times New Roman" w:cs="Times New Roman"/>
            <w:noProof/>
            <w:lang w:val="zh-CN"/>
          </w:rPr>
          <w:t>8</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6" w:rsidRDefault="00890DF6">
    <w:pPr>
      <w:pStyle w:val="a4"/>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B9" w:rsidRDefault="002234B9" w:rsidP="00E3217D">
      <w:pPr>
        <w:spacing w:after="240"/>
      </w:pPr>
      <w:r>
        <w:separator/>
      </w:r>
    </w:p>
  </w:footnote>
  <w:footnote w:type="continuationSeparator" w:id="0">
    <w:p w:rsidR="002234B9" w:rsidRDefault="002234B9" w:rsidP="00E3217D">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6" w:rsidRDefault="00890DF6">
    <w:pPr>
      <w:pStyle w:val="a5"/>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6" w:rsidRDefault="00890DF6">
    <w:pPr>
      <w:pStyle w:val="a5"/>
      <w:pBdr>
        <w:bottom w:val="none" w:sz="0" w:space="0"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6" w:rsidRDefault="00890DF6">
    <w:pPr>
      <w:pStyle w:val="a5"/>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88"/>
    <w:rsid w:val="000049AF"/>
    <w:rsid w:val="00021C95"/>
    <w:rsid w:val="000265B6"/>
    <w:rsid w:val="00033848"/>
    <w:rsid w:val="00034577"/>
    <w:rsid w:val="00036F8B"/>
    <w:rsid w:val="00042146"/>
    <w:rsid w:val="0004694B"/>
    <w:rsid w:val="00047F28"/>
    <w:rsid w:val="000539E1"/>
    <w:rsid w:val="00060458"/>
    <w:rsid w:val="000663E1"/>
    <w:rsid w:val="0007318A"/>
    <w:rsid w:val="000A09B3"/>
    <w:rsid w:val="000C4BF6"/>
    <w:rsid w:val="000D7F45"/>
    <w:rsid w:val="000E259C"/>
    <w:rsid w:val="000E621E"/>
    <w:rsid w:val="000F7B0D"/>
    <w:rsid w:val="000F7CB9"/>
    <w:rsid w:val="001031CF"/>
    <w:rsid w:val="00105401"/>
    <w:rsid w:val="00115A15"/>
    <w:rsid w:val="00125B73"/>
    <w:rsid w:val="0012626C"/>
    <w:rsid w:val="00127531"/>
    <w:rsid w:val="00143FE5"/>
    <w:rsid w:val="00146E34"/>
    <w:rsid w:val="0016748B"/>
    <w:rsid w:val="0017000D"/>
    <w:rsid w:val="00173B16"/>
    <w:rsid w:val="00187DC6"/>
    <w:rsid w:val="00191D38"/>
    <w:rsid w:val="00194EE6"/>
    <w:rsid w:val="001A25B6"/>
    <w:rsid w:val="001A78DC"/>
    <w:rsid w:val="001B1A78"/>
    <w:rsid w:val="001B3F62"/>
    <w:rsid w:val="001B5CDA"/>
    <w:rsid w:val="001D65D0"/>
    <w:rsid w:val="001D7318"/>
    <w:rsid w:val="001E319A"/>
    <w:rsid w:val="001E4055"/>
    <w:rsid w:val="001F4FEE"/>
    <w:rsid w:val="00203F1E"/>
    <w:rsid w:val="00212B76"/>
    <w:rsid w:val="00213B44"/>
    <w:rsid w:val="002234B9"/>
    <w:rsid w:val="002320A0"/>
    <w:rsid w:val="00263C9D"/>
    <w:rsid w:val="00295803"/>
    <w:rsid w:val="002A63EF"/>
    <w:rsid w:val="002B777C"/>
    <w:rsid w:val="002C3E8D"/>
    <w:rsid w:val="002D4082"/>
    <w:rsid w:val="002D5EE1"/>
    <w:rsid w:val="00300F7D"/>
    <w:rsid w:val="00302D66"/>
    <w:rsid w:val="00304D27"/>
    <w:rsid w:val="00316B0E"/>
    <w:rsid w:val="0033645F"/>
    <w:rsid w:val="00337437"/>
    <w:rsid w:val="00347961"/>
    <w:rsid w:val="003564F2"/>
    <w:rsid w:val="003713CD"/>
    <w:rsid w:val="00380056"/>
    <w:rsid w:val="00383921"/>
    <w:rsid w:val="003970B3"/>
    <w:rsid w:val="003A01B3"/>
    <w:rsid w:val="003A4BB8"/>
    <w:rsid w:val="003B4546"/>
    <w:rsid w:val="003C5A88"/>
    <w:rsid w:val="003D13B2"/>
    <w:rsid w:val="003E36F2"/>
    <w:rsid w:val="003F19A2"/>
    <w:rsid w:val="0041353A"/>
    <w:rsid w:val="00413E37"/>
    <w:rsid w:val="00417B59"/>
    <w:rsid w:val="004237CC"/>
    <w:rsid w:val="0044665E"/>
    <w:rsid w:val="00455841"/>
    <w:rsid w:val="00476016"/>
    <w:rsid w:val="00493C42"/>
    <w:rsid w:val="004969C5"/>
    <w:rsid w:val="00496FAB"/>
    <w:rsid w:val="004A5797"/>
    <w:rsid w:val="004A630F"/>
    <w:rsid w:val="004A76FF"/>
    <w:rsid w:val="004B10FD"/>
    <w:rsid w:val="004B1DCC"/>
    <w:rsid w:val="004B5FA5"/>
    <w:rsid w:val="004C3AEA"/>
    <w:rsid w:val="004E71AE"/>
    <w:rsid w:val="004F5047"/>
    <w:rsid w:val="005023C4"/>
    <w:rsid w:val="00523AD8"/>
    <w:rsid w:val="0052521B"/>
    <w:rsid w:val="00525DF2"/>
    <w:rsid w:val="00526AB3"/>
    <w:rsid w:val="00527693"/>
    <w:rsid w:val="005315B8"/>
    <w:rsid w:val="00533948"/>
    <w:rsid w:val="00543B55"/>
    <w:rsid w:val="00545B12"/>
    <w:rsid w:val="00546539"/>
    <w:rsid w:val="005543D3"/>
    <w:rsid w:val="00556579"/>
    <w:rsid w:val="00563159"/>
    <w:rsid w:val="00566137"/>
    <w:rsid w:val="0057773F"/>
    <w:rsid w:val="005840C6"/>
    <w:rsid w:val="00593BF8"/>
    <w:rsid w:val="005B50B4"/>
    <w:rsid w:val="005B7938"/>
    <w:rsid w:val="005C0BAB"/>
    <w:rsid w:val="005C51FA"/>
    <w:rsid w:val="005C652D"/>
    <w:rsid w:val="005E5B39"/>
    <w:rsid w:val="005F55D1"/>
    <w:rsid w:val="00616B7A"/>
    <w:rsid w:val="006175FE"/>
    <w:rsid w:val="00621336"/>
    <w:rsid w:val="00621596"/>
    <w:rsid w:val="00622194"/>
    <w:rsid w:val="0062461E"/>
    <w:rsid w:val="0064674A"/>
    <w:rsid w:val="00651A16"/>
    <w:rsid w:val="00664C2B"/>
    <w:rsid w:val="006665B1"/>
    <w:rsid w:val="00667AFF"/>
    <w:rsid w:val="00672B23"/>
    <w:rsid w:val="0067352B"/>
    <w:rsid w:val="00675524"/>
    <w:rsid w:val="0069302D"/>
    <w:rsid w:val="00695A8A"/>
    <w:rsid w:val="006E4C0A"/>
    <w:rsid w:val="006E76EE"/>
    <w:rsid w:val="00707C73"/>
    <w:rsid w:val="00731F79"/>
    <w:rsid w:val="007344CA"/>
    <w:rsid w:val="00763EEB"/>
    <w:rsid w:val="007676EB"/>
    <w:rsid w:val="007756D6"/>
    <w:rsid w:val="00784D07"/>
    <w:rsid w:val="007947F1"/>
    <w:rsid w:val="007A3B9D"/>
    <w:rsid w:val="007A5747"/>
    <w:rsid w:val="007B00F5"/>
    <w:rsid w:val="007B0314"/>
    <w:rsid w:val="007B0487"/>
    <w:rsid w:val="007B3ACC"/>
    <w:rsid w:val="007B7176"/>
    <w:rsid w:val="007C0D37"/>
    <w:rsid w:val="007C11FC"/>
    <w:rsid w:val="007D732F"/>
    <w:rsid w:val="007E2921"/>
    <w:rsid w:val="007F2FD4"/>
    <w:rsid w:val="00804DF9"/>
    <w:rsid w:val="008153E7"/>
    <w:rsid w:val="008672B8"/>
    <w:rsid w:val="00876026"/>
    <w:rsid w:val="00881460"/>
    <w:rsid w:val="00884C6E"/>
    <w:rsid w:val="00886B69"/>
    <w:rsid w:val="00890DF6"/>
    <w:rsid w:val="0089256A"/>
    <w:rsid w:val="008B39FC"/>
    <w:rsid w:val="008C5A90"/>
    <w:rsid w:val="008C6F6C"/>
    <w:rsid w:val="008D5944"/>
    <w:rsid w:val="008D73B9"/>
    <w:rsid w:val="008F3368"/>
    <w:rsid w:val="00904604"/>
    <w:rsid w:val="009143FA"/>
    <w:rsid w:val="00924B89"/>
    <w:rsid w:val="009468B0"/>
    <w:rsid w:val="00966BCC"/>
    <w:rsid w:val="00977A7D"/>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126B6"/>
    <w:rsid w:val="00A24E74"/>
    <w:rsid w:val="00A34A6E"/>
    <w:rsid w:val="00A51364"/>
    <w:rsid w:val="00A61432"/>
    <w:rsid w:val="00A65598"/>
    <w:rsid w:val="00A722F7"/>
    <w:rsid w:val="00A96A7B"/>
    <w:rsid w:val="00AB4385"/>
    <w:rsid w:val="00AD6793"/>
    <w:rsid w:val="00AE0E63"/>
    <w:rsid w:val="00AF5955"/>
    <w:rsid w:val="00B106E2"/>
    <w:rsid w:val="00B20733"/>
    <w:rsid w:val="00B21B54"/>
    <w:rsid w:val="00B26906"/>
    <w:rsid w:val="00B47ED1"/>
    <w:rsid w:val="00B51092"/>
    <w:rsid w:val="00B52EC3"/>
    <w:rsid w:val="00B55142"/>
    <w:rsid w:val="00B7153C"/>
    <w:rsid w:val="00B73235"/>
    <w:rsid w:val="00B74D6D"/>
    <w:rsid w:val="00B76500"/>
    <w:rsid w:val="00B76D28"/>
    <w:rsid w:val="00B81D63"/>
    <w:rsid w:val="00B83EBF"/>
    <w:rsid w:val="00B83EC8"/>
    <w:rsid w:val="00B8559B"/>
    <w:rsid w:val="00B91D8C"/>
    <w:rsid w:val="00BA11CB"/>
    <w:rsid w:val="00BD203E"/>
    <w:rsid w:val="00BE3AB0"/>
    <w:rsid w:val="00BE5289"/>
    <w:rsid w:val="00BF4B66"/>
    <w:rsid w:val="00C03653"/>
    <w:rsid w:val="00C30AFF"/>
    <w:rsid w:val="00C53F3A"/>
    <w:rsid w:val="00C77F25"/>
    <w:rsid w:val="00C85093"/>
    <w:rsid w:val="00CB1F32"/>
    <w:rsid w:val="00CB3914"/>
    <w:rsid w:val="00CB5023"/>
    <w:rsid w:val="00CB60D2"/>
    <w:rsid w:val="00CE1419"/>
    <w:rsid w:val="00CE5B70"/>
    <w:rsid w:val="00CF1A9F"/>
    <w:rsid w:val="00CF31A1"/>
    <w:rsid w:val="00CF55DA"/>
    <w:rsid w:val="00D16004"/>
    <w:rsid w:val="00D17B67"/>
    <w:rsid w:val="00D2144D"/>
    <w:rsid w:val="00D236F1"/>
    <w:rsid w:val="00D36056"/>
    <w:rsid w:val="00D408ED"/>
    <w:rsid w:val="00D42585"/>
    <w:rsid w:val="00D457F7"/>
    <w:rsid w:val="00D5156E"/>
    <w:rsid w:val="00D76BF7"/>
    <w:rsid w:val="00D76FA5"/>
    <w:rsid w:val="00D82288"/>
    <w:rsid w:val="00DA6284"/>
    <w:rsid w:val="00DB637F"/>
    <w:rsid w:val="00DC3217"/>
    <w:rsid w:val="00DD4826"/>
    <w:rsid w:val="00DD5E7A"/>
    <w:rsid w:val="00DF579E"/>
    <w:rsid w:val="00DF623F"/>
    <w:rsid w:val="00E06F7C"/>
    <w:rsid w:val="00E17E75"/>
    <w:rsid w:val="00E22BFE"/>
    <w:rsid w:val="00E30EE6"/>
    <w:rsid w:val="00E3217D"/>
    <w:rsid w:val="00E45706"/>
    <w:rsid w:val="00E51B14"/>
    <w:rsid w:val="00E5326D"/>
    <w:rsid w:val="00E565C8"/>
    <w:rsid w:val="00E577B1"/>
    <w:rsid w:val="00E57F55"/>
    <w:rsid w:val="00E6024D"/>
    <w:rsid w:val="00E733F8"/>
    <w:rsid w:val="00E74035"/>
    <w:rsid w:val="00E741D2"/>
    <w:rsid w:val="00E86136"/>
    <w:rsid w:val="00ED1907"/>
    <w:rsid w:val="00ED2F4D"/>
    <w:rsid w:val="00ED61C6"/>
    <w:rsid w:val="00EE7ECF"/>
    <w:rsid w:val="00F045C8"/>
    <w:rsid w:val="00F14340"/>
    <w:rsid w:val="00F216EE"/>
    <w:rsid w:val="00F34DED"/>
    <w:rsid w:val="00F42D6A"/>
    <w:rsid w:val="00F46590"/>
    <w:rsid w:val="00F67821"/>
    <w:rsid w:val="00F67DF7"/>
    <w:rsid w:val="00F7013A"/>
    <w:rsid w:val="00F7120A"/>
    <w:rsid w:val="00F80F63"/>
    <w:rsid w:val="00FA084F"/>
    <w:rsid w:val="00FA71D0"/>
    <w:rsid w:val="00FD7D8F"/>
    <w:rsid w:val="00FE21ED"/>
    <w:rsid w:val="00FE4032"/>
    <w:rsid w:val="00FF5065"/>
    <w:rsid w:val="02D32035"/>
    <w:rsid w:val="30661B70"/>
    <w:rsid w:val="30BC200D"/>
    <w:rsid w:val="33F9628F"/>
    <w:rsid w:val="4E996557"/>
    <w:rsid w:val="5A2023DA"/>
    <w:rsid w:val="6BDB1966"/>
    <w:rsid w:val="70F12A41"/>
    <w:rsid w:val="7C203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F6"/>
    <w:pPr>
      <w:adjustRightInd w:val="0"/>
      <w:snapToGrid w:val="0"/>
      <w:spacing w:afterLines="100"/>
    </w:pPr>
    <w:rPr>
      <w:rFonts w:ascii="Tahoma" w:eastAsia="微软雅黑" w:hAnsi="Tahoma" w:cstheme="minorBidi"/>
      <w:sz w:val="22"/>
      <w:szCs w:val="22"/>
    </w:rPr>
  </w:style>
  <w:style w:type="paragraph" w:styleId="1">
    <w:name w:val="heading 1"/>
    <w:basedOn w:val="a"/>
    <w:next w:val="a"/>
    <w:link w:val="1Char"/>
    <w:uiPriority w:val="9"/>
    <w:qFormat/>
    <w:rsid w:val="00890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0DF6"/>
    <w:pPr>
      <w:keepNext/>
      <w:keepLines/>
      <w:spacing w:before="260" w:afterLines="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890DF6"/>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DF6"/>
    <w:rPr>
      <w:sz w:val="18"/>
      <w:szCs w:val="18"/>
    </w:rPr>
  </w:style>
  <w:style w:type="paragraph" w:styleId="a4">
    <w:name w:val="footer"/>
    <w:basedOn w:val="a"/>
    <w:link w:val="Char0"/>
    <w:uiPriority w:val="99"/>
    <w:unhideWhenUsed/>
    <w:rsid w:val="00890DF6"/>
    <w:pPr>
      <w:tabs>
        <w:tab w:val="center" w:pos="4153"/>
        <w:tab w:val="right" w:pos="8306"/>
      </w:tabs>
    </w:pPr>
    <w:rPr>
      <w:sz w:val="18"/>
      <w:szCs w:val="18"/>
    </w:rPr>
  </w:style>
  <w:style w:type="paragraph" w:styleId="a5">
    <w:name w:val="header"/>
    <w:basedOn w:val="a"/>
    <w:link w:val="Char1"/>
    <w:uiPriority w:val="99"/>
    <w:unhideWhenUsed/>
    <w:qFormat/>
    <w:rsid w:val="00890DF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890DF6"/>
    <w:pPr>
      <w:adjustRightInd/>
      <w:snapToGrid/>
      <w:spacing w:before="100" w:beforeAutospacing="1" w:afterAutospacing="1"/>
    </w:pPr>
    <w:rPr>
      <w:rFonts w:ascii="宋体" w:eastAsia="宋体" w:hAnsi="宋体" w:cs="宋体"/>
      <w:sz w:val="24"/>
      <w:szCs w:val="24"/>
    </w:rPr>
  </w:style>
  <w:style w:type="character" w:styleId="a7">
    <w:name w:val="Strong"/>
    <w:basedOn w:val="a0"/>
    <w:uiPriority w:val="22"/>
    <w:qFormat/>
    <w:rsid w:val="00890DF6"/>
    <w:rPr>
      <w:b/>
    </w:rPr>
  </w:style>
  <w:style w:type="character" w:styleId="a8">
    <w:name w:val="FollowedHyperlink"/>
    <w:basedOn w:val="a0"/>
    <w:uiPriority w:val="99"/>
    <w:semiHidden/>
    <w:unhideWhenUsed/>
    <w:qFormat/>
    <w:rsid w:val="00890DF6"/>
    <w:rPr>
      <w:color w:val="800080"/>
      <w:u w:val="none"/>
    </w:rPr>
  </w:style>
  <w:style w:type="character" w:styleId="a9">
    <w:name w:val="Emphasis"/>
    <w:basedOn w:val="a0"/>
    <w:uiPriority w:val="20"/>
    <w:qFormat/>
    <w:rsid w:val="00890DF6"/>
  </w:style>
  <w:style w:type="character" w:styleId="aa">
    <w:name w:val="Hyperlink"/>
    <w:basedOn w:val="a0"/>
    <w:uiPriority w:val="99"/>
    <w:unhideWhenUsed/>
    <w:qFormat/>
    <w:rsid w:val="00890DF6"/>
    <w:rPr>
      <w:color w:val="0000FF"/>
      <w:u w:val="none"/>
    </w:rPr>
  </w:style>
  <w:style w:type="character" w:customStyle="1" w:styleId="Char1">
    <w:name w:val="页眉 Char"/>
    <w:basedOn w:val="a0"/>
    <w:link w:val="a5"/>
    <w:uiPriority w:val="99"/>
    <w:qFormat/>
    <w:rsid w:val="00890DF6"/>
    <w:rPr>
      <w:rFonts w:ascii="Tahoma" w:eastAsia="微软雅黑" w:hAnsi="Tahoma"/>
      <w:kern w:val="0"/>
      <w:sz w:val="18"/>
      <w:szCs w:val="18"/>
    </w:rPr>
  </w:style>
  <w:style w:type="character" w:customStyle="1" w:styleId="Char0">
    <w:name w:val="页脚 Char"/>
    <w:basedOn w:val="a0"/>
    <w:link w:val="a4"/>
    <w:uiPriority w:val="99"/>
    <w:qFormat/>
    <w:rsid w:val="00890DF6"/>
    <w:rPr>
      <w:rFonts w:ascii="Tahoma" w:eastAsia="微软雅黑" w:hAnsi="Tahoma"/>
      <w:kern w:val="0"/>
      <w:sz w:val="18"/>
      <w:szCs w:val="18"/>
    </w:rPr>
  </w:style>
  <w:style w:type="character" w:customStyle="1" w:styleId="1Char">
    <w:name w:val="标题 1 Char"/>
    <w:basedOn w:val="a0"/>
    <w:link w:val="1"/>
    <w:uiPriority w:val="9"/>
    <w:rsid w:val="00890DF6"/>
    <w:rPr>
      <w:rFonts w:ascii="Tahoma" w:eastAsia="微软雅黑" w:hAnsi="Tahoma"/>
      <w:b/>
      <w:bCs/>
      <w:kern w:val="44"/>
      <w:sz w:val="44"/>
      <w:szCs w:val="44"/>
    </w:rPr>
  </w:style>
  <w:style w:type="character" w:customStyle="1" w:styleId="2Char">
    <w:name w:val="标题 2 Char"/>
    <w:basedOn w:val="a0"/>
    <w:link w:val="2"/>
    <w:uiPriority w:val="9"/>
    <w:semiHidden/>
    <w:qFormat/>
    <w:rsid w:val="00890DF6"/>
    <w:rPr>
      <w:rFonts w:asciiTheme="majorHAnsi" w:eastAsiaTheme="majorEastAsia" w:hAnsiTheme="majorHAnsi" w:cstheme="majorBidi"/>
      <w:b/>
      <w:bCs/>
      <w:kern w:val="0"/>
      <w:sz w:val="32"/>
      <w:szCs w:val="32"/>
    </w:rPr>
  </w:style>
  <w:style w:type="character" w:customStyle="1" w:styleId="Char">
    <w:name w:val="批注框文本 Char"/>
    <w:basedOn w:val="a0"/>
    <w:link w:val="a3"/>
    <w:uiPriority w:val="99"/>
    <w:semiHidden/>
    <w:qFormat/>
    <w:rsid w:val="00890DF6"/>
    <w:rPr>
      <w:rFonts w:ascii="Tahoma" w:eastAsia="微软雅黑" w:hAnsi="Tahoma"/>
      <w:kern w:val="0"/>
      <w:sz w:val="18"/>
      <w:szCs w:val="18"/>
    </w:rPr>
  </w:style>
  <w:style w:type="character" w:customStyle="1" w:styleId="hover14">
    <w:name w:val="hover14"/>
    <w:basedOn w:val="a0"/>
    <w:rsid w:val="00890DF6"/>
    <w:rPr>
      <w:shd w:val="clear" w:color="auto" w:fill="1A6C46"/>
    </w:rPr>
  </w:style>
  <w:style w:type="character" w:customStyle="1" w:styleId="hover15">
    <w:name w:val="hover15"/>
    <w:basedOn w:val="a0"/>
    <w:rsid w:val="00890DF6"/>
  </w:style>
  <w:style w:type="character" w:customStyle="1" w:styleId="hover16">
    <w:name w:val="hover16"/>
    <w:basedOn w:val="a0"/>
    <w:rsid w:val="00890DF6"/>
  </w:style>
  <w:style w:type="character" w:customStyle="1" w:styleId="hover17">
    <w:name w:val="hover17"/>
    <w:basedOn w:val="a0"/>
    <w:rsid w:val="00890DF6"/>
    <w:rPr>
      <w:shd w:val="clear" w:color="auto" w:fill="1E6F46"/>
    </w:rPr>
  </w:style>
  <w:style w:type="paragraph" w:customStyle="1" w:styleId="Style23">
    <w:name w:val="_Style 23"/>
    <w:basedOn w:val="a"/>
    <w:next w:val="a"/>
    <w:rsid w:val="00890DF6"/>
    <w:pPr>
      <w:pBdr>
        <w:bottom w:val="single" w:sz="6" w:space="1" w:color="auto"/>
      </w:pBdr>
      <w:jc w:val="center"/>
    </w:pPr>
    <w:rPr>
      <w:rFonts w:ascii="Arial" w:eastAsia="宋体"/>
      <w:vanish/>
      <w:sz w:val="16"/>
    </w:rPr>
  </w:style>
  <w:style w:type="paragraph" w:customStyle="1" w:styleId="Style24">
    <w:name w:val="_Style 24"/>
    <w:basedOn w:val="a"/>
    <w:next w:val="a"/>
    <w:rsid w:val="00890DF6"/>
    <w:pPr>
      <w:pBdr>
        <w:top w:val="single" w:sz="6" w:space="1" w:color="auto"/>
      </w:pBdr>
      <w:jc w:val="center"/>
    </w:pPr>
    <w:rPr>
      <w:rFonts w:ascii="Arial" w:eastAsia="宋体"/>
      <w:vanish/>
      <w:sz w:val="16"/>
    </w:rPr>
  </w:style>
  <w:style w:type="character" w:customStyle="1" w:styleId="hover">
    <w:name w:val="hover"/>
    <w:basedOn w:val="a0"/>
    <w:rsid w:val="00890DF6"/>
    <w:rPr>
      <w:shd w:val="clear" w:color="auto" w:fill="1E6F46"/>
    </w:rPr>
  </w:style>
  <w:style w:type="character" w:customStyle="1" w:styleId="hover1">
    <w:name w:val="hover1"/>
    <w:basedOn w:val="a0"/>
    <w:rsid w:val="00890DF6"/>
  </w:style>
  <w:style w:type="character" w:customStyle="1" w:styleId="hover2">
    <w:name w:val="hover2"/>
    <w:basedOn w:val="a0"/>
    <w:rsid w:val="00890DF6"/>
  </w:style>
  <w:style w:type="character" w:customStyle="1" w:styleId="hover3">
    <w:name w:val="hover3"/>
    <w:basedOn w:val="a0"/>
    <w:rsid w:val="00890DF6"/>
    <w:rPr>
      <w:shd w:val="clear" w:color="auto" w:fill="1A6C46"/>
    </w:rPr>
  </w:style>
  <w:style w:type="character" w:customStyle="1" w:styleId="tzinput">
    <w:name w:val="tz_input"/>
    <w:basedOn w:val="a0"/>
    <w:rsid w:val="00890DF6"/>
    <w:rPr>
      <w:color w:val="A0121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F6"/>
    <w:pPr>
      <w:adjustRightInd w:val="0"/>
      <w:snapToGrid w:val="0"/>
      <w:spacing w:afterLines="100"/>
    </w:pPr>
    <w:rPr>
      <w:rFonts w:ascii="Tahoma" w:eastAsia="微软雅黑" w:hAnsi="Tahoma" w:cstheme="minorBidi"/>
      <w:sz w:val="22"/>
      <w:szCs w:val="22"/>
    </w:rPr>
  </w:style>
  <w:style w:type="paragraph" w:styleId="1">
    <w:name w:val="heading 1"/>
    <w:basedOn w:val="a"/>
    <w:next w:val="a"/>
    <w:link w:val="1Char"/>
    <w:uiPriority w:val="9"/>
    <w:qFormat/>
    <w:rsid w:val="00890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0DF6"/>
    <w:pPr>
      <w:keepNext/>
      <w:keepLines/>
      <w:spacing w:before="260" w:afterLines="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890DF6"/>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DF6"/>
    <w:rPr>
      <w:sz w:val="18"/>
      <w:szCs w:val="18"/>
    </w:rPr>
  </w:style>
  <w:style w:type="paragraph" w:styleId="a4">
    <w:name w:val="footer"/>
    <w:basedOn w:val="a"/>
    <w:link w:val="Char0"/>
    <w:uiPriority w:val="99"/>
    <w:unhideWhenUsed/>
    <w:rsid w:val="00890DF6"/>
    <w:pPr>
      <w:tabs>
        <w:tab w:val="center" w:pos="4153"/>
        <w:tab w:val="right" w:pos="8306"/>
      </w:tabs>
    </w:pPr>
    <w:rPr>
      <w:sz w:val="18"/>
      <w:szCs w:val="18"/>
    </w:rPr>
  </w:style>
  <w:style w:type="paragraph" w:styleId="a5">
    <w:name w:val="header"/>
    <w:basedOn w:val="a"/>
    <w:link w:val="Char1"/>
    <w:uiPriority w:val="99"/>
    <w:unhideWhenUsed/>
    <w:qFormat/>
    <w:rsid w:val="00890DF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890DF6"/>
    <w:pPr>
      <w:adjustRightInd/>
      <w:snapToGrid/>
      <w:spacing w:before="100" w:beforeAutospacing="1" w:afterAutospacing="1"/>
    </w:pPr>
    <w:rPr>
      <w:rFonts w:ascii="宋体" w:eastAsia="宋体" w:hAnsi="宋体" w:cs="宋体"/>
      <w:sz w:val="24"/>
      <w:szCs w:val="24"/>
    </w:rPr>
  </w:style>
  <w:style w:type="character" w:styleId="a7">
    <w:name w:val="Strong"/>
    <w:basedOn w:val="a0"/>
    <w:uiPriority w:val="22"/>
    <w:qFormat/>
    <w:rsid w:val="00890DF6"/>
    <w:rPr>
      <w:b/>
    </w:rPr>
  </w:style>
  <w:style w:type="character" w:styleId="a8">
    <w:name w:val="FollowedHyperlink"/>
    <w:basedOn w:val="a0"/>
    <w:uiPriority w:val="99"/>
    <w:semiHidden/>
    <w:unhideWhenUsed/>
    <w:qFormat/>
    <w:rsid w:val="00890DF6"/>
    <w:rPr>
      <w:color w:val="800080"/>
      <w:u w:val="none"/>
    </w:rPr>
  </w:style>
  <w:style w:type="character" w:styleId="a9">
    <w:name w:val="Emphasis"/>
    <w:basedOn w:val="a0"/>
    <w:uiPriority w:val="20"/>
    <w:qFormat/>
    <w:rsid w:val="00890DF6"/>
  </w:style>
  <w:style w:type="character" w:styleId="aa">
    <w:name w:val="Hyperlink"/>
    <w:basedOn w:val="a0"/>
    <w:uiPriority w:val="99"/>
    <w:unhideWhenUsed/>
    <w:qFormat/>
    <w:rsid w:val="00890DF6"/>
    <w:rPr>
      <w:color w:val="0000FF"/>
      <w:u w:val="none"/>
    </w:rPr>
  </w:style>
  <w:style w:type="character" w:customStyle="1" w:styleId="Char1">
    <w:name w:val="页眉 Char"/>
    <w:basedOn w:val="a0"/>
    <w:link w:val="a5"/>
    <w:uiPriority w:val="99"/>
    <w:qFormat/>
    <w:rsid w:val="00890DF6"/>
    <w:rPr>
      <w:rFonts w:ascii="Tahoma" w:eastAsia="微软雅黑" w:hAnsi="Tahoma"/>
      <w:kern w:val="0"/>
      <w:sz w:val="18"/>
      <w:szCs w:val="18"/>
    </w:rPr>
  </w:style>
  <w:style w:type="character" w:customStyle="1" w:styleId="Char0">
    <w:name w:val="页脚 Char"/>
    <w:basedOn w:val="a0"/>
    <w:link w:val="a4"/>
    <w:uiPriority w:val="99"/>
    <w:qFormat/>
    <w:rsid w:val="00890DF6"/>
    <w:rPr>
      <w:rFonts w:ascii="Tahoma" w:eastAsia="微软雅黑" w:hAnsi="Tahoma"/>
      <w:kern w:val="0"/>
      <w:sz w:val="18"/>
      <w:szCs w:val="18"/>
    </w:rPr>
  </w:style>
  <w:style w:type="character" w:customStyle="1" w:styleId="1Char">
    <w:name w:val="标题 1 Char"/>
    <w:basedOn w:val="a0"/>
    <w:link w:val="1"/>
    <w:uiPriority w:val="9"/>
    <w:rsid w:val="00890DF6"/>
    <w:rPr>
      <w:rFonts w:ascii="Tahoma" w:eastAsia="微软雅黑" w:hAnsi="Tahoma"/>
      <w:b/>
      <w:bCs/>
      <w:kern w:val="44"/>
      <w:sz w:val="44"/>
      <w:szCs w:val="44"/>
    </w:rPr>
  </w:style>
  <w:style w:type="character" w:customStyle="1" w:styleId="2Char">
    <w:name w:val="标题 2 Char"/>
    <w:basedOn w:val="a0"/>
    <w:link w:val="2"/>
    <w:uiPriority w:val="9"/>
    <w:semiHidden/>
    <w:qFormat/>
    <w:rsid w:val="00890DF6"/>
    <w:rPr>
      <w:rFonts w:asciiTheme="majorHAnsi" w:eastAsiaTheme="majorEastAsia" w:hAnsiTheme="majorHAnsi" w:cstheme="majorBidi"/>
      <w:b/>
      <w:bCs/>
      <w:kern w:val="0"/>
      <w:sz w:val="32"/>
      <w:szCs w:val="32"/>
    </w:rPr>
  </w:style>
  <w:style w:type="character" w:customStyle="1" w:styleId="Char">
    <w:name w:val="批注框文本 Char"/>
    <w:basedOn w:val="a0"/>
    <w:link w:val="a3"/>
    <w:uiPriority w:val="99"/>
    <w:semiHidden/>
    <w:qFormat/>
    <w:rsid w:val="00890DF6"/>
    <w:rPr>
      <w:rFonts w:ascii="Tahoma" w:eastAsia="微软雅黑" w:hAnsi="Tahoma"/>
      <w:kern w:val="0"/>
      <w:sz w:val="18"/>
      <w:szCs w:val="18"/>
    </w:rPr>
  </w:style>
  <w:style w:type="character" w:customStyle="1" w:styleId="hover14">
    <w:name w:val="hover14"/>
    <w:basedOn w:val="a0"/>
    <w:rsid w:val="00890DF6"/>
    <w:rPr>
      <w:shd w:val="clear" w:color="auto" w:fill="1A6C46"/>
    </w:rPr>
  </w:style>
  <w:style w:type="character" w:customStyle="1" w:styleId="hover15">
    <w:name w:val="hover15"/>
    <w:basedOn w:val="a0"/>
    <w:rsid w:val="00890DF6"/>
  </w:style>
  <w:style w:type="character" w:customStyle="1" w:styleId="hover16">
    <w:name w:val="hover16"/>
    <w:basedOn w:val="a0"/>
    <w:rsid w:val="00890DF6"/>
  </w:style>
  <w:style w:type="character" w:customStyle="1" w:styleId="hover17">
    <w:name w:val="hover17"/>
    <w:basedOn w:val="a0"/>
    <w:rsid w:val="00890DF6"/>
    <w:rPr>
      <w:shd w:val="clear" w:color="auto" w:fill="1E6F46"/>
    </w:rPr>
  </w:style>
  <w:style w:type="paragraph" w:customStyle="1" w:styleId="Style23">
    <w:name w:val="_Style 23"/>
    <w:basedOn w:val="a"/>
    <w:next w:val="a"/>
    <w:rsid w:val="00890DF6"/>
    <w:pPr>
      <w:pBdr>
        <w:bottom w:val="single" w:sz="6" w:space="1" w:color="auto"/>
      </w:pBdr>
      <w:jc w:val="center"/>
    </w:pPr>
    <w:rPr>
      <w:rFonts w:ascii="Arial" w:eastAsia="宋体"/>
      <w:vanish/>
      <w:sz w:val="16"/>
    </w:rPr>
  </w:style>
  <w:style w:type="paragraph" w:customStyle="1" w:styleId="Style24">
    <w:name w:val="_Style 24"/>
    <w:basedOn w:val="a"/>
    <w:next w:val="a"/>
    <w:rsid w:val="00890DF6"/>
    <w:pPr>
      <w:pBdr>
        <w:top w:val="single" w:sz="6" w:space="1" w:color="auto"/>
      </w:pBdr>
      <w:jc w:val="center"/>
    </w:pPr>
    <w:rPr>
      <w:rFonts w:ascii="Arial" w:eastAsia="宋体"/>
      <w:vanish/>
      <w:sz w:val="16"/>
    </w:rPr>
  </w:style>
  <w:style w:type="character" w:customStyle="1" w:styleId="hover">
    <w:name w:val="hover"/>
    <w:basedOn w:val="a0"/>
    <w:rsid w:val="00890DF6"/>
    <w:rPr>
      <w:shd w:val="clear" w:color="auto" w:fill="1E6F46"/>
    </w:rPr>
  </w:style>
  <w:style w:type="character" w:customStyle="1" w:styleId="hover1">
    <w:name w:val="hover1"/>
    <w:basedOn w:val="a0"/>
    <w:rsid w:val="00890DF6"/>
  </w:style>
  <w:style w:type="character" w:customStyle="1" w:styleId="hover2">
    <w:name w:val="hover2"/>
    <w:basedOn w:val="a0"/>
    <w:rsid w:val="00890DF6"/>
  </w:style>
  <w:style w:type="character" w:customStyle="1" w:styleId="hover3">
    <w:name w:val="hover3"/>
    <w:basedOn w:val="a0"/>
    <w:rsid w:val="00890DF6"/>
    <w:rPr>
      <w:shd w:val="clear" w:color="auto" w:fill="1A6C46"/>
    </w:rPr>
  </w:style>
  <w:style w:type="character" w:customStyle="1" w:styleId="tzinput">
    <w:name w:val="tz_input"/>
    <w:basedOn w:val="a0"/>
    <w:rsid w:val="00890DF6"/>
    <w:rPr>
      <w:color w:val="A012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72">
      <w:bodyDiv w:val="1"/>
      <w:marLeft w:val="0"/>
      <w:marRight w:val="0"/>
      <w:marTop w:val="0"/>
      <w:marBottom w:val="0"/>
      <w:divBdr>
        <w:top w:val="none" w:sz="0" w:space="0" w:color="auto"/>
        <w:left w:val="none" w:sz="0" w:space="0" w:color="auto"/>
        <w:bottom w:val="none" w:sz="0" w:space="0" w:color="auto"/>
        <w:right w:val="none" w:sz="0" w:space="0" w:color="auto"/>
      </w:divBdr>
      <w:divsChild>
        <w:div w:id="271326904">
          <w:marLeft w:val="0"/>
          <w:marRight w:val="0"/>
          <w:marTop w:val="0"/>
          <w:marBottom w:val="0"/>
          <w:divBdr>
            <w:top w:val="none" w:sz="0" w:space="0" w:color="auto"/>
            <w:left w:val="none" w:sz="0" w:space="0" w:color="auto"/>
            <w:bottom w:val="none" w:sz="0" w:space="0" w:color="auto"/>
            <w:right w:val="none" w:sz="0" w:space="0" w:color="auto"/>
          </w:divBdr>
          <w:divsChild>
            <w:div w:id="343290604">
              <w:marLeft w:val="0"/>
              <w:marRight w:val="0"/>
              <w:marTop w:val="100"/>
              <w:marBottom w:val="100"/>
              <w:divBdr>
                <w:top w:val="none" w:sz="0" w:space="0" w:color="auto"/>
                <w:left w:val="none" w:sz="0" w:space="0" w:color="auto"/>
                <w:bottom w:val="none" w:sz="0" w:space="0" w:color="auto"/>
                <w:right w:val="none" w:sz="0" w:space="0" w:color="auto"/>
              </w:divBdr>
              <w:divsChild>
                <w:div w:id="2058360614">
                  <w:marLeft w:val="0"/>
                  <w:marRight w:val="0"/>
                  <w:marTop w:val="0"/>
                  <w:marBottom w:val="0"/>
                  <w:divBdr>
                    <w:top w:val="none" w:sz="0" w:space="0" w:color="auto"/>
                    <w:left w:val="none" w:sz="0" w:space="0" w:color="auto"/>
                    <w:bottom w:val="none" w:sz="0" w:space="0" w:color="auto"/>
                    <w:right w:val="none" w:sz="0" w:space="0" w:color="auto"/>
                  </w:divBdr>
                  <w:divsChild>
                    <w:div w:id="1534994768">
                      <w:marLeft w:val="0"/>
                      <w:marRight w:val="0"/>
                      <w:marTop w:val="225"/>
                      <w:marBottom w:val="0"/>
                      <w:divBdr>
                        <w:top w:val="none" w:sz="0" w:space="0" w:color="auto"/>
                        <w:left w:val="none" w:sz="0" w:space="0" w:color="auto"/>
                        <w:bottom w:val="none" w:sz="0" w:space="0" w:color="auto"/>
                        <w:right w:val="none" w:sz="0" w:space="0" w:color="auto"/>
                      </w:divBdr>
                      <w:divsChild>
                        <w:div w:id="493036298">
                          <w:marLeft w:val="0"/>
                          <w:marRight w:val="0"/>
                          <w:marTop w:val="0"/>
                          <w:marBottom w:val="0"/>
                          <w:divBdr>
                            <w:top w:val="none" w:sz="0" w:space="0" w:color="auto"/>
                            <w:left w:val="none" w:sz="0" w:space="0" w:color="auto"/>
                            <w:bottom w:val="none" w:sz="0" w:space="0" w:color="auto"/>
                            <w:right w:val="none" w:sz="0" w:space="0" w:color="auto"/>
                          </w:divBdr>
                          <w:divsChild>
                            <w:div w:id="587233269">
                              <w:marLeft w:val="0"/>
                              <w:marRight w:val="0"/>
                              <w:marTop w:val="0"/>
                              <w:marBottom w:val="0"/>
                              <w:divBdr>
                                <w:top w:val="none" w:sz="0" w:space="0" w:color="auto"/>
                                <w:left w:val="none" w:sz="0" w:space="0" w:color="auto"/>
                                <w:bottom w:val="none" w:sz="0" w:space="0" w:color="auto"/>
                                <w:right w:val="none" w:sz="0" w:space="0" w:color="auto"/>
                              </w:divBdr>
                              <w:divsChild>
                                <w:div w:id="15239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4074">
      <w:bodyDiv w:val="1"/>
      <w:marLeft w:val="0"/>
      <w:marRight w:val="0"/>
      <w:marTop w:val="0"/>
      <w:marBottom w:val="0"/>
      <w:divBdr>
        <w:top w:val="none" w:sz="0" w:space="0" w:color="auto"/>
        <w:left w:val="none" w:sz="0" w:space="0" w:color="auto"/>
        <w:bottom w:val="none" w:sz="0" w:space="0" w:color="auto"/>
        <w:right w:val="none" w:sz="0" w:space="0" w:color="auto"/>
      </w:divBdr>
      <w:divsChild>
        <w:div w:id="1983731284">
          <w:marLeft w:val="0"/>
          <w:marRight w:val="0"/>
          <w:marTop w:val="0"/>
          <w:marBottom w:val="0"/>
          <w:divBdr>
            <w:top w:val="none" w:sz="0" w:space="0" w:color="auto"/>
            <w:left w:val="none" w:sz="0" w:space="0" w:color="auto"/>
            <w:bottom w:val="none" w:sz="0" w:space="0" w:color="auto"/>
            <w:right w:val="none" w:sz="0" w:space="0" w:color="auto"/>
          </w:divBdr>
          <w:divsChild>
            <w:div w:id="15405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8875">
      <w:bodyDiv w:val="1"/>
      <w:marLeft w:val="0"/>
      <w:marRight w:val="0"/>
      <w:marTop w:val="0"/>
      <w:marBottom w:val="0"/>
      <w:divBdr>
        <w:top w:val="none" w:sz="0" w:space="0" w:color="auto"/>
        <w:left w:val="none" w:sz="0" w:space="0" w:color="auto"/>
        <w:bottom w:val="none" w:sz="0" w:space="0" w:color="auto"/>
        <w:right w:val="none" w:sz="0" w:space="0" w:color="auto"/>
      </w:divBdr>
    </w:div>
    <w:div w:id="32927301">
      <w:bodyDiv w:val="1"/>
      <w:marLeft w:val="0"/>
      <w:marRight w:val="0"/>
      <w:marTop w:val="0"/>
      <w:marBottom w:val="0"/>
      <w:divBdr>
        <w:top w:val="none" w:sz="0" w:space="0" w:color="auto"/>
        <w:left w:val="none" w:sz="0" w:space="0" w:color="auto"/>
        <w:bottom w:val="none" w:sz="0" w:space="0" w:color="auto"/>
        <w:right w:val="none" w:sz="0" w:space="0" w:color="auto"/>
      </w:divBdr>
    </w:div>
    <w:div w:id="36665077">
      <w:bodyDiv w:val="1"/>
      <w:marLeft w:val="0"/>
      <w:marRight w:val="0"/>
      <w:marTop w:val="0"/>
      <w:marBottom w:val="0"/>
      <w:divBdr>
        <w:top w:val="none" w:sz="0" w:space="0" w:color="auto"/>
        <w:left w:val="none" w:sz="0" w:space="0" w:color="auto"/>
        <w:bottom w:val="none" w:sz="0" w:space="0" w:color="auto"/>
        <w:right w:val="none" w:sz="0" w:space="0" w:color="auto"/>
      </w:divBdr>
    </w:div>
    <w:div w:id="40402589">
      <w:bodyDiv w:val="1"/>
      <w:marLeft w:val="0"/>
      <w:marRight w:val="0"/>
      <w:marTop w:val="0"/>
      <w:marBottom w:val="0"/>
      <w:divBdr>
        <w:top w:val="none" w:sz="0" w:space="0" w:color="auto"/>
        <w:left w:val="none" w:sz="0" w:space="0" w:color="auto"/>
        <w:bottom w:val="none" w:sz="0" w:space="0" w:color="auto"/>
        <w:right w:val="none" w:sz="0" w:space="0" w:color="auto"/>
      </w:divBdr>
    </w:div>
    <w:div w:id="41026107">
      <w:bodyDiv w:val="1"/>
      <w:marLeft w:val="0"/>
      <w:marRight w:val="0"/>
      <w:marTop w:val="0"/>
      <w:marBottom w:val="0"/>
      <w:divBdr>
        <w:top w:val="none" w:sz="0" w:space="0" w:color="auto"/>
        <w:left w:val="none" w:sz="0" w:space="0" w:color="auto"/>
        <w:bottom w:val="none" w:sz="0" w:space="0" w:color="auto"/>
        <w:right w:val="none" w:sz="0" w:space="0" w:color="auto"/>
      </w:divBdr>
    </w:div>
    <w:div w:id="45298627">
      <w:bodyDiv w:val="1"/>
      <w:marLeft w:val="0"/>
      <w:marRight w:val="0"/>
      <w:marTop w:val="0"/>
      <w:marBottom w:val="0"/>
      <w:divBdr>
        <w:top w:val="none" w:sz="0" w:space="0" w:color="auto"/>
        <w:left w:val="none" w:sz="0" w:space="0" w:color="auto"/>
        <w:bottom w:val="none" w:sz="0" w:space="0" w:color="auto"/>
        <w:right w:val="none" w:sz="0" w:space="0" w:color="auto"/>
      </w:divBdr>
    </w:div>
    <w:div w:id="51774133">
      <w:bodyDiv w:val="1"/>
      <w:marLeft w:val="0"/>
      <w:marRight w:val="0"/>
      <w:marTop w:val="0"/>
      <w:marBottom w:val="0"/>
      <w:divBdr>
        <w:top w:val="none" w:sz="0" w:space="0" w:color="auto"/>
        <w:left w:val="none" w:sz="0" w:space="0" w:color="auto"/>
        <w:bottom w:val="none" w:sz="0" w:space="0" w:color="auto"/>
        <w:right w:val="none" w:sz="0" w:space="0" w:color="auto"/>
      </w:divBdr>
    </w:div>
    <w:div w:id="55277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4134">
          <w:marLeft w:val="0"/>
          <w:marRight w:val="0"/>
          <w:marTop w:val="150"/>
          <w:marBottom w:val="0"/>
          <w:divBdr>
            <w:top w:val="none" w:sz="0" w:space="0" w:color="auto"/>
            <w:left w:val="none" w:sz="0" w:space="0" w:color="auto"/>
            <w:bottom w:val="none" w:sz="0" w:space="0" w:color="auto"/>
            <w:right w:val="none" w:sz="0" w:space="0" w:color="auto"/>
          </w:divBdr>
          <w:divsChild>
            <w:div w:id="245765924">
              <w:marLeft w:val="0"/>
              <w:marRight w:val="0"/>
              <w:marTop w:val="0"/>
              <w:marBottom w:val="0"/>
              <w:divBdr>
                <w:top w:val="single" w:sz="6" w:space="0" w:color="CADAE7"/>
                <w:left w:val="single" w:sz="6" w:space="0" w:color="CADAE7"/>
                <w:bottom w:val="single" w:sz="6" w:space="0" w:color="CADAE7"/>
                <w:right w:val="single" w:sz="6" w:space="0" w:color="CADAE7"/>
              </w:divBdr>
              <w:divsChild>
                <w:div w:id="24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0126">
      <w:bodyDiv w:val="1"/>
      <w:marLeft w:val="0"/>
      <w:marRight w:val="0"/>
      <w:marTop w:val="0"/>
      <w:marBottom w:val="0"/>
      <w:divBdr>
        <w:top w:val="none" w:sz="0" w:space="0" w:color="auto"/>
        <w:left w:val="none" w:sz="0" w:space="0" w:color="auto"/>
        <w:bottom w:val="none" w:sz="0" w:space="0" w:color="auto"/>
        <w:right w:val="none" w:sz="0" w:space="0" w:color="auto"/>
      </w:divBdr>
    </w:div>
    <w:div w:id="75052923">
      <w:bodyDiv w:val="1"/>
      <w:marLeft w:val="0"/>
      <w:marRight w:val="0"/>
      <w:marTop w:val="0"/>
      <w:marBottom w:val="0"/>
      <w:divBdr>
        <w:top w:val="none" w:sz="0" w:space="0" w:color="auto"/>
        <w:left w:val="none" w:sz="0" w:space="0" w:color="auto"/>
        <w:bottom w:val="none" w:sz="0" w:space="0" w:color="auto"/>
        <w:right w:val="none" w:sz="0" w:space="0" w:color="auto"/>
      </w:divBdr>
    </w:div>
    <w:div w:id="132331212">
      <w:bodyDiv w:val="1"/>
      <w:marLeft w:val="0"/>
      <w:marRight w:val="0"/>
      <w:marTop w:val="0"/>
      <w:marBottom w:val="0"/>
      <w:divBdr>
        <w:top w:val="none" w:sz="0" w:space="0" w:color="auto"/>
        <w:left w:val="none" w:sz="0" w:space="0" w:color="auto"/>
        <w:bottom w:val="none" w:sz="0" w:space="0" w:color="auto"/>
        <w:right w:val="none" w:sz="0" w:space="0" w:color="auto"/>
      </w:divBdr>
      <w:divsChild>
        <w:div w:id="411200890">
          <w:marLeft w:val="0"/>
          <w:marRight w:val="0"/>
          <w:marTop w:val="0"/>
          <w:marBottom w:val="0"/>
          <w:divBdr>
            <w:top w:val="none" w:sz="0" w:space="0" w:color="auto"/>
            <w:left w:val="none" w:sz="0" w:space="0" w:color="auto"/>
            <w:bottom w:val="none" w:sz="0" w:space="0" w:color="auto"/>
            <w:right w:val="none" w:sz="0" w:space="0" w:color="auto"/>
          </w:divBdr>
          <w:divsChild>
            <w:div w:id="1047874029">
              <w:marLeft w:val="0"/>
              <w:marRight w:val="0"/>
              <w:marTop w:val="0"/>
              <w:marBottom w:val="0"/>
              <w:divBdr>
                <w:top w:val="none" w:sz="0" w:space="0" w:color="auto"/>
                <w:left w:val="none" w:sz="0" w:space="0" w:color="auto"/>
                <w:bottom w:val="none" w:sz="0" w:space="0" w:color="auto"/>
                <w:right w:val="none" w:sz="0" w:space="0" w:color="auto"/>
              </w:divBdr>
              <w:divsChild>
                <w:div w:id="5350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9523">
      <w:bodyDiv w:val="1"/>
      <w:marLeft w:val="0"/>
      <w:marRight w:val="0"/>
      <w:marTop w:val="0"/>
      <w:marBottom w:val="0"/>
      <w:divBdr>
        <w:top w:val="none" w:sz="0" w:space="0" w:color="auto"/>
        <w:left w:val="none" w:sz="0" w:space="0" w:color="auto"/>
        <w:bottom w:val="none" w:sz="0" w:space="0" w:color="auto"/>
        <w:right w:val="none" w:sz="0" w:space="0" w:color="auto"/>
      </w:divBdr>
      <w:divsChild>
        <w:div w:id="1963882201">
          <w:marLeft w:val="0"/>
          <w:marRight w:val="0"/>
          <w:marTop w:val="100"/>
          <w:marBottom w:val="100"/>
          <w:divBdr>
            <w:top w:val="none" w:sz="0" w:space="0" w:color="auto"/>
            <w:left w:val="none" w:sz="0" w:space="0" w:color="auto"/>
            <w:bottom w:val="none" w:sz="0" w:space="0" w:color="auto"/>
            <w:right w:val="none" w:sz="0" w:space="0" w:color="auto"/>
          </w:divBdr>
          <w:divsChild>
            <w:div w:id="585727905">
              <w:marLeft w:val="0"/>
              <w:marRight w:val="0"/>
              <w:marTop w:val="0"/>
              <w:marBottom w:val="0"/>
              <w:divBdr>
                <w:top w:val="none" w:sz="0" w:space="0" w:color="auto"/>
                <w:left w:val="none" w:sz="0" w:space="0" w:color="auto"/>
                <w:bottom w:val="none" w:sz="0" w:space="0" w:color="auto"/>
                <w:right w:val="none" w:sz="0" w:space="0" w:color="auto"/>
              </w:divBdr>
              <w:divsChild>
                <w:div w:id="1246308909">
                  <w:marLeft w:val="0"/>
                  <w:marRight w:val="0"/>
                  <w:marTop w:val="0"/>
                  <w:marBottom w:val="0"/>
                  <w:divBdr>
                    <w:top w:val="none" w:sz="0" w:space="0" w:color="auto"/>
                    <w:left w:val="none" w:sz="0" w:space="0" w:color="auto"/>
                    <w:bottom w:val="none" w:sz="0" w:space="0" w:color="auto"/>
                    <w:right w:val="none" w:sz="0" w:space="0" w:color="auto"/>
                  </w:divBdr>
                  <w:divsChild>
                    <w:div w:id="100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9280">
      <w:bodyDiv w:val="1"/>
      <w:marLeft w:val="0"/>
      <w:marRight w:val="0"/>
      <w:marTop w:val="0"/>
      <w:marBottom w:val="0"/>
      <w:divBdr>
        <w:top w:val="none" w:sz="0" w:space="0" w:color="auto"/>
        <w:left w:val="none" w:sz="0" w:space="0" w:color="auto"/>
        <w:bottom w:val="none" w:sz="0" w:space="0" w:color="auto"/>
        <w:right w:val="none" w:sz="0" w:space="0" w:color="auto"/>
      </w:divBdr>
    </w:div>
    <w:div w:id="162741752">
      <w:bodyDiv w:val="1"/>
      <w:marLeft w:val="0"/>
      <w:marRight w:val="0"/>
      <w:marTop w:val="0"/>
      <w:marBottom w:val="0"/>
      <w:divBdr>
        <w:top w:val="none" w:sz="0" w:space="0" w:color="auto"/>
        <w:left w:val="none" w:sz="0" w:space="0" w:color="auto"/>
        <w:bottom w:val="none" w:sz="0" w:space="0" w:color="auto"/>
        <w:right w:val="none" w:sz="0" w:space="0" w:color="auto"/>
      </w:divBdr>
    </w:div>
    <w:div w:id="175656987">
      <w:bodyDiv w:val="1"/>
      <w:marLeft w:val="0"/>
      <w:marRight w:val="0"/>
      <w:marTop w:val="0"/>
      <w:marBottom w:val="0"/>
      <w:divBdr>
        <w:top w:val="none" w:sz="0" w:space="0" w:color="auto"/>
        <w:left w:val="none" w:sz="0" w:space="0" w:color="auto"/>
        <w:bottom w:val="none" w:sz="0" w:space="0" w:color="auto"/>
        <w:right w:val="none" w:sz="0" w:space="0" w:color="auto"/>
      </w:divBdr>
      <w:divsChild>
        <w:div w:id="1955476907">
          <w:marLeft w:val="0"/>
          <w:marRight w:val="0"/>
          <w:marTop w:val="0"/>
          <w:marBottom w:val="0"/>
          <w:divBdr>
            <w:top w:val="none" w:sz="0" w:space="0" w:color="auto"/>
            <w:left w:val="none" w:sz="0" w:space="0" w:color="auto"/>
            <w:bottom w:val="none" w:sz="0" w:space="0" w:color="auto"/>
            <w:right w:val="none" w:sz="0" w:space="0" w:color="auto"/>
          </w:divBdr>
          <w:divsChild>
            <w:div w:id="1399330280">
              <w:marLeft w:val="0"/>
              <w:marRight w:val="0"/>
              <w:marTop w:val="0"/>
              <w:marBottom w:val="0"/>
              <w:divBdr>
                <w:top w:val="none" w:sz="0" w:space="0" w:color="auto"/>
                <w:left w:val="none" w:sz="0" w:space="0" w:color="auto"/>
                <w:bottom w:val="none" w:sz="0" w:space="0" w:color="auto"/>
                <w:right w:val="none" w:sz="0" w:space="0" w:color="auto"/>
              </w:divBdr>
              <w:divsChild>
                <w:div w:id="3269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1652">
      <w:bodyDiv w:val="1"/>
      <w:marLeft w:val="0"/>
      <w:marRight w:val="0"/>
      <w:marTop w:val="0"/>
      <w:marBottom w:val="0"/>
      <w:divBdr>
        <w:top w:val="none" w:sz="0" w:space="0" w:color="auto"/>
        <w:left w:val="none" w:sz="0" w:space="0" w:color="auto"/>
        <w:bottom w:val="none" w:sz="0" w:space="0" w:color="auto"/>
        <w:right w:val="none" w:sz="0" w:space="0" w:color="auto"/>
      </w:divBdr>
      <w:divsChild>
        <w:div w:id="443310397">
          <w:marLeft w:val="0"/>
          <w:marRight w:val="0"/>
          <w:marTop w:val="0"/>
          <w:marBottom w:val="0"/>
          <w:divBdr>
            <w:top w:val="none" w:sz="0" w:space="0" w:color="auto"/>
            <w:left w:val="none" w:sz="0" w:space="0" w:color="auto"/>
            <w:bottom w:val="none" w:sz="0" w:space="0" w:color="auto"/>
            <w:right w:val="none" w:sz="0" w:space="0" w:color="auto"/>
          </w:divBdr>
          <w:divsChild>
            <w:div w:id="1880899079">
              <w:marLeft w:val="0"/>
              <w:marRight w:val="0"/>
              <w:marTop w:val="100"/>
              <w:marBottom w:val="100"/>
              <w:divBdr>
                <w:top w:val="none" w:sz="0" w:space="0" w:color="auto"/>
                <w:left w:val="none" w:sz="0" w:space="0" w:color="auto"/>
                <w:bottom w:val="none" w:sz="0" w:space="0" w:color="auto"/>
                <w:right w:val="none" w:sz="0" w:space="0" w:color="auto"/>
              </w:divBdr>
              <w:divsChild>
                <w:div w:id="982931558">
                  <w:marLeft w:val="0"/>
                  <w:marRight w:val="0"/>
                  <w:marTop w:val="0"/>
                  <w:marBottom w:val="0"/>
                  <w:divBdr>
                    <w:top w:val="none" w:sz="0" w:space="0" w:color="auto"/>
                    <w:left w:val="none" w:sz="0" w:space="0" w:color="auto"/>
                    <w:bottom w:val="none" w:sz="0" w:space="0" w:color="auto"/>
                    <w:right w:val="none" w:sz="0" w:space="0" w:color="auto"/>
                  </w:divBdr>
                  <w:divsChild>
                    <w:div w:id="84961636">
                      <w:marLeft w:val="0"/>
                      <w:marRight w:val="0"/>
                      <w:marTop w:val="225"/>
                      <w:marBottom w:val="0"/>
                      <w:divBdr>
                        <w:top w:val="none" w:sz="0" w:space="0" w:color="auto"/>
                        <w:left w:val="none" w:sz="0" w:space="0" w:color="auto"/>
                        <w:bottom w:val="none" w:sz="0" w:space="0" w:color="auto"/>
                        <w:right w:val="none" w:sz="0" w:space="0" w:color="auto"/>
                      </w:divBdr>
                      <w:divsChild>
                        <w:div w:id="1255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4928">
      <w:bodyDiv w:val="1"/>
      <w:marLeft w:val="0"/>
      <w:marRight w:val="0"/>
      <w:marTop w:val="0"/>
      <w:marBottom w:val="0"/>
      <w:divBdr>
        <w:top w:val="none" w:sz="0" w:space="0" w:color="auto"/>
        <w:left w:val="none" w:sz="0" w:space="0" w:color="auto"/>
        <w:bottom w:val="none" w:sz="0" w:space="0" w:color="auto"/>
        <w:right w:val="none" w:sz="0" w:space="0" w:color="auto"/>
      </w:divBdr>
    </w:div>
    <w:div w:id="220798889">
      <w:bodyDiv w:val="1"/>
      <w:marLeft w:val="0"/>
      <w:marRight w:val="0"/>
      <w:marTop w:val="0"/>
      <w:marBottom w:val="0"/>
      <w:divBdr>
        <w:top w:val="none" w:sz="0" w:space="0" w:color="auto"/>
        <w:left w:val="none" w:sz="0" w:space="0" w:color="auto"/>
        <w:bottom w:val="none" w:sz="0" w:space="0" w:color="auto"/>
        <w:right w:val="none" w:sz="0" w:space="0" w:color="auto"/>
      </w:divBdr>
    </w:div>
    <w:div w:id="239608839">
      <w:bodyDiv w:val="1"/>
      <w:marLeft w:val="0"/>
      <w:marRight w:val="0"/>
      <w:marTop w:val="0"/>
      <w:marBottom w:val="0"/>
      <w:divBdr>
        <w:top w:val="none" w:sz="0" w:space="0" w:color="auto"/>
        <w:left w:val="none" w:sz="0" w:space="0" w:color="auto"/>
        <w:bottom w:val="none" w:sz="0" w:space="0" w:color="auto"/>
        <w:right w:val="none" w:sz="0" w:space="0" w:color="auto"/>
      </w:divBdr>
    </w:div>
    <w:div w:id="245843472">
      <w:bodyDiv w:val="1"/>
      <w:marLeft w:val="0"/>
      <w:marRight w:val="0"/>
      <w:marTop w:val="0"/>
      <w:marBottom w:val="0"/>
      <w:divBdr>
        <w:top w:val="none" w:sz="0" w:space="0" w:color="auto"/>
        <w:left w:val="none" w:sz="0" w:space="0" w:color="auto"/>
        <w:bottom w:val="none" w:sz="0" w:space="0" w:color="auto"/>
        <w:right w:val="none" w:sz="0" w:space="0" w:color="auto"/>
      </w:divBdr>
    </w:div>
    <w:div w:id="257713501">
      <w:bodyDiv w:val="1"/>
      <w:marLeft w:val="0"/>
      <w:marRight w:val="0"/>
      <w:marTop w:val="0"/>
      <w:marBottom w:val="0"/>
      <w:divBdr>
        <w:top w:val="none" w:sz="0" w:space="0" w:color="auto"/>
        <w:left w:val="none" w:sz="0" w:space="0" w:color="auto"/>
        <w:bottom w:val="none" w:sz="0" w:space="0" w:color="auto"/>
        <w:right w:val="none" w:sz="0" w:space="0" w:color="auto"/>
      </w:divBdr>
      <w:divsChild>
        <w:div w:id="1503662338">
          <w:marLeft w:val="0"/>
          <w:marRight w:val="0"/>
          <w:marTop w:val="0"/>
          <w:marBottom w:val="0"/>
          <w:divBdr>
            <w:top w:val="none" w:sz="0" w:space="0" w:color="auto"/>
            <w:left w:val="none" w:sz="0" w:space="0" w:color="auto"/>
            <w:bottom w:val="none" w:sz="0" w:space="0" w:color="auto"/>
            <w:right w:val="none" w:sz="0" w:space="0" w:color="auto"/>
          </w:divBdr>
          <w:divsChild>
            <w:div w:id="1946764825">
              <w:marLeft w:val="0"/>
              <w:marRight w:val="0"/>
              <w:marTop w:val="0"/>
              <w:marBottom w:val="0"/>
              <w:divBdr>
                <w:top w:val="none" w:sz="0" w:space="0" w:color="auto"/>
                <w:left w:val="none" w:sz="0" w:space="0" w:color="auto"/>
                <w:bottom w:val="none" w:sz="0" w:space="0" w:color="auto"/>
                <w:right w:val="none" w:sz="0" w:space="0" w:color="auto"/>
              </w:divBdr>
              <w:divsChild>
                <w:div w:id="12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29959">
      <w:bodyDiv w:val="1"/>
      <w:marLeft w:val="0"/>
      <w:marRight w:val="0"/>
      <w:marTop w:val="0"/>
      <w:marBottom w:val="0"/>
      <w:divBdr>
        <w:top w:val="none" w:sz="0" w:space="0" w:color="auto"/>
        <w:left w:val="none" w:sz="0" w:space="0" w:color="auto"/>
        <w:bottom w:val="none" w:sz="0" w:space="0" w:color="auto"/>
        <w:right w:val="none" w:sz="0" w:space="0" w:color="auto"/>
      </w:divBdr>
    </w:div>
    <w:div w:id="265231942">
      <w:bodyDiv w:val="1"/>
      <w:marLeft w:val="0"/>
      <w:marRight w:val="0"/>
      <w:marTop w:val="0"/>
      <w:marBottom w:val="0"/>
      <w:divBdr>
        <w:top w:val="none" w:sz="0" w:space="0" w:color="auto"/>
        <w:left w:val="none" w:sz="0" w:space="0" w:color="auto"/>
        <w:bottom w:val="none" w:sz="0" w:space="0" w:color="auto"/>
        <w:right w:val="none" w:sz="0" w:space="0" w:color="auto"/>
      </w:divBdr>
    </w:div>
    <w:div w:id="268128954">
      <w:bodyDiv w:val="1"/>
      <w:marLeft w:val="0"/>
      <w:marRight w:val="0"/>
      <w:marTop w:val="0"/>
      <w:marBottom w:val="0"/>
      <w:divBdr>
        <w:top w:val="none" w:sz="0" w:space="0" w:color="auto"/>
        <w:left w:val="none" w:sz="0" w:space="0" w:color="auto"/>
        <w:bottom w:val="none" w:sz="0" w:space="0" w:color="auto"/>
        <w:right w:val="none" w:sz="0" w:space="0" w:color="auto"/>
      </w:divBdr>
    </w:div>
    <w:div w:id="269237333">
      <w:bodyDiv w:val="1"/>
      <w:marLeft w:val="0"/>
      <w:marRight w:val="0"/>
      <w:marTop w:val="0"/>
      <w:marBottom w:val="0"/>
      <w:divBdr>
        <w:top w:val="none" w:sz="0" w:space="0" w:color="auto"/>
        <w:left w:val="none" w:sz="0" w:space="0" w:color="auto"/>
        <w:bottom w:val="none" w:sz="0" w:space="0" w:color="auto"/>
        <w:right w:val="none" w:sz="0" w:space="0" w:color="auto"/>
      </w:divBdr>
    </w:div>
    <w:div w:id="271017487">
      <w:bodyDiv w:val="1"/>
      <w:marLeft w:val="0"/>
      <w:marRight w:val="0"/>
      <w:marTop w:val="0"/>
      <w:marBottom w:val="0"/>
      <w:divBdr>
        <w:top w:val="none" w:sz="0" w:space="0" w:color="auto"/>
        <w:left w:val="none" w:sz="0" w:space="0" w:color="auto"/>
        <w:bottom w:val="none" w:sz="0" w:space="0" w:color="auto"/>
        <w:right w:val="none" w:sz="0" w:space="0" w:color="auto"/>
      </w:divBdr>
    </w:div>
    <w:div w:id="275646931">
      <w:bodyDiv w:val="1"/>
      <w:marLeft w:val="0"/>
      <w:marRight w:val="0"/>
      <w:marTop w:val="0"/>
      <w:marBottom w:val="0"/>
      <w:divBdr>
        <w:top w:val="none" w:sz="0" w:space="0" w:color="auto"/>
        <w:left w:val="none" w:sz="0" w:space="0" w:color="auto"/>
        <w:bottom w:val="none" w:sz="0" w:space="0" w:color="auto"/>
        <w:right w:val="none" w:sz="0" w:space="0" w:color="auto"/>
      </w:divBdr>
    </w:div>
    <w:div w:id="305013971">
      <w:bodyDiv w:val="1"/>
      <w:marLeft w:val="0"/>
      <w:marRight w:val="0"/>
      <w:marTop w:val="0"/>
      <w:marBottom w:val="0"/>
      <w:divBdr>
        <w:top w:val="none" w:sz="0" w:space="0" w:color="auto"/>
        <w:left w:val="none" w:sz="0" w:space="0" w:color="auto"/>
        <w:bottom w:val="none" w:sz="0" w:space="0" w:color="auto"/>
        <w:right w:val="none" w:sz="0" w:space="0" w:color="auto"/>
      </w:divBdr>
    </w:div>
    <w:div w:id="306975445">
      <w:bodyDiv w:val="1"/>
      <w:marLeft w:val="0"/>
      <w:marRight w:val="0"/>
      <w:marTop w:val="0"/>
      <w:marBottom w:val="0"/>
      <w:divBdr>
        <w:top w:val="none" w:sz="0" w:space="0" w:color="auto"/>
        <w:left w:val="none" w:sz="0" w:space="0" w:color="auto"/>
        <w:bottom w:val="none" w:sz="0" w:space="0" w:color="auto"/>
        <w:right w:val="none" w:sz="0" w:space="0" w:color="auto"/>
      </w:divBdr>
    </w:div>
    <w:div w:id="310915257">
      <w:bodyDiv w:val="1"/>
      <w:marLeft w:val="0"/>
      <w:marRight w:val="0"/>
      <w:marTop w:val="0"/>
      <w:marBottom w:val="0"/>
      <w:divBdr>
        <w:top w:val="none" w:sz="0" w:space="0" w:color="auto"/>
        <w:left w:val="none" w:sz="0" w:space="0" w:color="auto"/>
        <w:bottom w:val="none" w:sz="0" w:space="0" w:color="auto"/>
        <w:right w:val="none" w:sz="0" w:space="0" w:color="auto"/>
      </w:divBdr>
    </w:div>
    <w:div w:id="322664765">
      <w:bodyDiv w:val="1"/>
      <w:marLeft w:val="0"/>
      <w:marRight w:val="0"/>
      <w:marTop w:val="0"/>
      <w:marBottom w:val="0"/>
      <w:divBdr>
        <w:top w:val="none" w:sz="0" w:space="0" w:color="auto"/>
        <w:left w:val="none" w:sz="0" w:space="0" w:color="auto"/>
        <w:bottom w:val="none" w:sz="0" w:space="0" w:color="auto"/>
        <w:right w:val="none" w:sz="0" w:space="0" w:color="auto"/>
      </w:divBdr>
    </w:div>
    <w:div w:id="328023969">
      <w:bodyDiv w:val="1"/>
      <w:marLeft w:val="0"/>
      <w:marRight w:val="0"/>
      <w:marTop w:val="0"/>
      <w:marBottom w:val="0"/>
      <w:divBdr>
        <w:top w:val="none" w:sz="0" w:space="0" w:color="auto"/>
        <w:left w:val="none" w:sz="0" w:space="0" w:color="auto"/>
        <w:bottom w:val="none" w:sz="0" w:space="0" w:color="auto"/>
        <w:right w:val="none" w:sz="0" w:space="0" w:color="auto"/>
      </w:divBdr>
      <w:divsChild>
        <w:div w:id="1942763020">
          <w:marLeft w:val="0"/>
          <w:marRight w:val="0"/>
          <w:marTop w:val="0"/>
          <w:marBottom w:val="0"/>
          <w:divBdr>
            <w:top w:val="none" w:sz="0" w:space="0" w:color="auto"/>
            <w:left w:val="none" w:sz="0" w:space="0" w:color="auto"/>
            <w:bottom w:val="none" w:sz="0" w:space="0" w:color="auto"/>
            <w:right w:val="none" w:sz="0" w:space="0" w:color="auto"/>
          </w:divBdr>
          <w:divsChild>
            <w:div w:id="1396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094">
      <w:bodyDiv w:val="1"/>
      <w:marLeft w:val="0"/>
      <w:marRight w:val="0"/>
      <w:marTop w:val="0"/>
      <w:marBottom w:val="0"/>
      <w:divBdr>
        <w:top w:val="none" w:sz="0" w:space="0" w:color="auto"/>
        <w:left w:val="none" w:sz="0" w:space="0" w:color="auto"/>
        <w:bottom w:val="none" w:sz="0" w:space="0" w:color="auto"/>
        <w:right w:val="none" w:sz="0" w:space="0" w:color="auto"/>
      </w:divBdr>
    </w:div>
    <w:div w:id="340862015">
      <w:bodyDiv w:val="1"/>
      <w:marLeft w:val="0"/>
      <w:marRight w:val="0"/>
      <w:marTop w:val="0"/>
      <w:marBottom w:val="0"/>
      <w:divBdr>
        <w:top w:val="none" w:sz="0" w:space="0" w:color="auto"/>
        <w:left w:val="none" w:sz="0" w:space="0" w:color="auto"/>
        <w:bottom w:val="none" w:sz="0" w:space="0" w:color="auto"/>
        <w:right w:val="none" w:sz="0" w:space="0" w:color="auto"/>
      </w:divBdr>
      <w:divsChild>
        <w:div w:id="1358577072">
          <w:marLeft w:val="0"/>
          <w:marRight w:val="0"/>
          <w:marTop w:val="0"/>
          <w:marBottom w:val="0"/>
          <w:divBdr>
            <w:top w:val="none" w:sz="0" w:space="0" w:color="auto"/>
            <w:left w:val="none" w:sz="0" w:space="0" w:color="auto"/>
            <w:bottom w:val="none" w:sz="0" w:space="0" w:color="auto"/>
            <w:right w:val="none" w:sz="0" w:space="0" w:color="auto"/>
          </w:divBdr>
          <w:divsChild>
            <w:div w:id="552349992">
              <w:marLeft w:val="0"/>
              <w:marRight w:val="0"/>
              <w:marTop w:val="100"/>
              <w:marBottom w:val="100"/>
              <w:divBdr>
                <w:top w:val="none" w:sz="0" w:space="0" w:color="auto"/>
                <w:left w:val="none" w:sz="0" w:space="0" w:color="auto"/>
                <w:bottom w:val="none" w:sz="0" w:space="0" w:color="auto"/>
                <w:right w:val="none" w:sz="0" w:space="0" w:color="auto"/>
              </w:divBdr>
              <w:divsChild>
                <w:div w:id="1909656884">
                  <w:marLeft w:val="0"/>
                  <w:marRight w:val="0"/>
                  <w:marTop w:val="0"/>
                  <w:marBottom w:val="0"/>
                  <w:divBdr>
                    <w:top w:val="none" w:sz="0" w:space="0" w:color="auto"/>
                    <w:left w:val="none" w:sz="0" w:space="0" w:color="auto"/>
                    <w:bottom w:val="none" w:sz="0" w:space="0" w:color="auto"/>
                    <w:right w:val="none" w:sz="0" w:space="0" w:color="auto"/>
                  </w:divBdr>
                  <w:divsChild>
                    <w:div w:id="1161192811">
                      <w:marLeft w:val="0"/>
                      <w:marRight w:val="0"/>
                      <w:marTop w:val="225"/>
                      <w:marBottom w:val="0"/>
                      <w:divBdr>
                        <w:top w:val="none" w:sz="0" w:space="0" w:color="auto"/>
                        <w:left w:val="none" w:sz="0" w:space="0" w:color="auto"/>
                        <w:bottom w:val="none" w:sz="0" w:space="0" w:color="auto"/>
                        <w:right w:val="none" w:sz="0" w:space="0" w:color="auto"/>
                      </w:divBdr>
                      <w:divsChild>
                        <w:div w:id="1924139024">
                          <w:marLeft w:val="0"/>
                          <w:marRight w:val="0"/>
                          <w:marTop w:val="0"/>
                          <w:marBottom w:val="0"/>
                          <w:divBdr>
                            <w:top w:val="none" w:sz="0" w:space="0" w:color="auto"/>
                            <w:left w:val="none" w:sz="0" w:space="0" w:color="auto"/>
                            <w:bottom w:val="none" w:sz="0" w:space="0" w:color="auto"/>
                            <w:right w:val="none" w:sz="0" w:space="0" w:color="auto"/>
                          </w:divBdr>
                          <w:divsChild>
                            <w:div w:id="1709066058">
                              <w:marLeft w:val="0"/>
                              <w:marRight w:val="0"/>
                              <w:marTop w:val="0"/>
                              <w:marBottom w:val="0"/>
                              <w:divBdr>
                                <w:top w:val="none" w:sz="0" w:space="0" w:color="auto"/>
                                <w:left w:val="none" w:sz="0" w:space="0" w:color="auto"/>
                                <w:bottom w:val="none" w:sz="0" w:space="0" w:color="auto"/>
                                <w:right w:val="none" w:sz="0" w:space="0" w:color="auto"/>
                              </w:divBdr>
                              <w:divsChild>
                                <w:div w:id="1828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653799">
      <w:bodyDiv w:val="1"/>
      <w:marLeft w:val="0"/>
      <w:marRight w:val="0"/>
      <w:marTop w:val="0"/>
      <w:marBottom w:val="0"/>
      <w:divBdr>
        <w:top w:val="none" w:sz="0" w:space="0" w:color="auto"/>
        <w:left w:val="none" w:sz="0" w:space="0" w:color="auto"/>
        <w:bottom w:val="none" w:sz="0" w:space="0" w:color="auto"/>
        <w:right w:val="none" w:sz="0" w:space="0" w:color="auto"/>
      </w:divBdr>
    </w:div>
    <w:div w:id="394549829">
      <w:bodyDiv w:val="1"/>
      <w:marLeft w:val="0"/>
      <w:marRight w:val="0"/>
      <w:marTop w:val="0"/>
      <w:marBottom w:val="0"/>
      <w:divBdr>
        <w:top w:val="none" w:sz="0" w:space="0" w:color="auto"/>
        <w:left w:val="none" w:sz="0" w:space="0" w:color="auto"/>
        <w:bottom w:val="none" w:sz="0" w:space="0" w:color="auto"/>
        <w:right w:val="none" w:sz="0" w:space="0" w:color="auto"/>
      </w:divBdr>
    </w:div>
    <w:div w:id="403380936">
      <w:bodyDiv w:val="1"/>
      <w:marLeft w:val="0"/>
      <w:marRight w:val="0"/>
      <w:marTop w:val="0"/>
      <w:marBottom w:val="0"/>
      <w:divBdr>
        <w:top w:val="none" w:sz="0" w:space="0" w:color="auto"/>
        <w:left w:val="none" w:sz="0" w:space="0" w:color="auto"/>
        <w:bottom w:val="none" w:sz="0" w:space="0" w:color="auto"/>
        <w:right w:val="none" w:sz="0" w:space="0" w:color="auto"/>
      </w:divBdr>
    </w:div>
    <w:div w:id="403994975">
      <w:bodyDiv w:val="1"/>
      <w:marLeft w:val="0"/>
      <w:marRight w:val="0"/>
      <w:marTop w:val="0"/>
      <w:marBottom w:val="0"/>
      <w:divBdr>
        <w:top w:val="none" w:sz="0" w:space="0" w:color="auto"/>
        <w:left w:val="none" w:sz="0" w:space="0" w:color="auto"/>
        <w:bottom w:val="none" w:sz="0" w:space="0" w:color="auto"/>
        <w:right w:val="none" w:sz="0" w:space="0" w:color="auto"/>
      </w:divBdr>
      <w:divsChild>
        <w:div w:id="1282227815">
          <w:marLeft w:val="0"/>
          <w:marRight w:val="0"/>
          <w:marTop w:val="0"/>
          <w:marBottom w:val="0"/>
          <w:divBdr>
            <w:top w:val="none" w:sz="0" w:space="0" w:color="auto"/>
            <w:left w:val="none" w:sz="0" w:space="0" w:color="auto"/>
            <w:bottom w:val="none" w:sz="0" w:space="0" w:color="auto"/>
            <w:right w:val="none" w:sz="0" w:space="0" w:color="auto"/>
          </w:divBdr>
          <w:divsChild>
            <w:div w:id="488793828">
              <w:marLeft w:val="0"/>
              <w:marRight w:val="0"/>
              <w:marTop w:val="0"/>
              <w:marBottom w:val="0"/>
              <w:divBdr>
                <w:top w:val="none" w:sz="0" w:space="0" w:color="auto"/>
                <w:left w:val="none" w:sz="0" w:space="0" w:color="auto"/>
                <w:bottom w:val="none" w:sz="0" w:space="0" w:color="auto"/>
                <w:right w:val="none" w:sz="0" w:space="0" w:color="auto"/>
              </w:divBdr>
              <w:divsChild>
                <w:div w:id="11052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6702">
      <w:bodyDiv w:val="1"/>
      <w:marLeft w:val="0"/>
      <w:marRight w:val="0"/>
      <w:marTop w:val="0"/>
      <w:marBottom w:val="0"/>
      <w:divBdr>
        <w:top w:val="none" w:sz="0" w:space="0" w:color="auto"/>
        <w:left w:val="none" w:sz="0" w:space="0" w:color="auto"/>
        <w:bottom w:val="none" w:sz="0" w:space="0" w:color="auto"/>
        <w:right w:val="none" w:sz="0" w:space="0" w:color="auto"/>
      </w:divBdr>
      <w:divsChild>
        <w:div w:id="1452935409">
          <w:marLeft w:val="0"/>
          <w:marRight w:val="0"/>
          <w:marTop w:val="100"/>
          <w:marBottom w:val="100"/>
          <w:divBdr>
            <w:top w:val="none" w:sz="0" w:space="0" w:color="auto"/>
            <w:left w:val="none" w:sz="0" w:space="0" w:color="auto"/>
            <w:bottom w:val="none" w:sz="0" w:space="0" w:color="auto"/>
            <w:right w:val="none" w:sz="0" w:space="0" w:color="auto"/>
          </w:divBdr>
          <w:divsChild>
            <w:div w:id="166985930">
              <w:marLeft w:val="0"/>
              <w:marRight w:val="0"/>
              <w:marTop w:val="0"/>
              <w:marBottom w:val="0"/>
              <w:divBdr>
                <w:top w:val="none" w:sz="0" w:space="0" w:color="auto"/>
                <w:left w:val="none" w:sz="0" w:space="0" w:color="auto"/>
                <w:bottom w:val="none" w:sz="0" w:space="0" w:color="auto"/>
                <w:right w:val="none" w:sz="0" w:space="0" w:color="auto"/>
              </w:divBdr>
              <w:divsChild>
                <w:div w:id="1048602885">
                  <w:marLeft w:val="0"/>
                  <w:marRight w:val="0"/>
                  <w:marTop w:val="0"/>
                  <w:marBottom w:val="0"/>
                  <w:divBdr>
                    <w:top w:val="none" w:sz="0" w:space="0" w:color="auto"/>
                    <w:left w:val="none" w:sz="0" w:space="0" w:color="auto"/>
                    <w:bottom w:val="none" w:sz="0" w:space="0" w:color="auto"/>
                    <w:right w:val="none" w:sz="0" w:space="0" w:color="auto"/>
                  </w:divBdr>
                  <w:divsChild>
                    <w:div w:id="8332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5118">
      <w:bodyDiv w:val="1"/>
      <w:marLeft w:val="0"/>
      <w:marRight w:val="0"/>
      <w:marTop w:val="0"/>
      <w:marBottom w:val="0"/>
      <w:divBdr>
        <w:top w:val="none" w:sz="0" w:space="0" w:color="auto"/>
        <w:left w:val="none" w:sz="0" w:space="0" w:color="auto"/>
        <w:bottom w:val="none" w:sz="0" w:space="0" w:color="auto"/>
        <w:right w:val="none" w:sz="0" w:space="0" w:color="auto"/>
      </w:divBdr>
    </w:div>
    <w:div w:id="451172153">
      <w:bodyDiv w:val="1"/>
      <w:marLeft w:val="0"/>
      <w:marRight w:val="0"/>
      <w:marTop w:val="0"/>
      <w:marBottom w:val="0"/>
      <w:divBdr>
        <w:top w:val="none" w:sz="0" w:space="0" w:color="auto"/>
        <w:left w:val="none" w:sz="0" w:space="0" w:color="auto"/>
        <w:bottom w:val="none" w:sz="0" w:space="0" w:color="auto"/>
        <w:right w:val="none" w:sz="0" w:space="0" w:color="auto"/>
      </w:divBdr>
    </w:div>
    <w:div w:id="451940155">
      <w:bodyDiv w:val="1"/>
      <w:marLeft w:val="0"/>
      <w:marRight w:val="0"/>
      <w:marTop w:val="0"/>
      <w:marBottom w:val="0"/>
      <w:divBdr>
        <w:top w:val="none" w:sz="0" w:space="0" w:color="auto"/>
        <w:left w:val="none" w:sz="0" w:space="0" w:color="auto"/>
        <w:bottom w:val="none" w:sz="0" w:space="0" w:color="auto"/>
        <w:right w:val="none" w:sz="0" w:space="0" w:color="auto"/>
      </w:divBdr>
    </w:div>
    <w:div w:id="467868697">
      <w:bodyDiv w:val="1"/>
      <w:marLeft w:val="0"/>
      <w:marRight w:val="0"/>
      <w:marTop w:val="0"/>
      <w:marBottom w:val="0"/>
      <w:divBdr>
        <w:top w:val="none" w:sz="0" w:space="0" w:color="auto"/>
        <w:left w:val="none" w:sz="0" w:space="0" w:color="auto"/>
        <w:bottom w:val="none" w:sz="0" w:space="0" w:color="auto"/>
        <w:right w:val="none" w:sz="0" w:space="0" w:color="auto"/>
      </w:divBdr>
    </w:div>
    <w:div w:id="471289036">
      <w:bodyDiv w:val="1"/>
      <w:marLeft w:val="0"/>
      <w:marRight w:val="0"/>
      <w:marTop w:val="0"/>
      <w:marBottom w:val="0"/>
      <w:divBdr>
        <w:top w:val="none" w:sz="0" w:space="0" w:color="auto"/>
        <w:left w:val="none" w:sz="0" w:space="0" w:color="auto"/>
        <w:bottom w:val="none" w:sz="0" w:space="0" w:color="auto"/>
        <w:right w:val="none" w:sz="0" w:space="0" w:color="auto"/>
      </w:divBdr>
    </w:div>
    <w:div w:id="471413825">
      <w:bodyDiv w:val="1"/>
      <w:marLeft w:val="0"/>
      <w:marRight w:val="0"/>
      <w:marTop w:val="0"/>
      <w:marBottom w:val="0"/>
      <w:divBdr>
        <w:top w:val="none" w:sz="0" w:space="0" w:color="auto"/>
        <w:left w:val="none" w:sz="0" w:space="0" w:color="auto"/>
        <w:bottom w:val="none" w:sz="0" w:space="0" w:color="auto"/>
        <w:right w:val="none" w:sz="0" w:space="0" w:color="auto"/>
      </w:divBdr>
    </w:div>
    <w:div w:id="472676127">
      <w:bodyDiv w:val="1"/>
      <w:marLeft w:val="0"/>
      <w:marRight w:val="0"/>
      <w:marTop w:val="0"/>
      <w:marBottom w:val="0"/>
      <w:divBdr>
        <w:top w:val="none" w:sz="0" w:space="0" w:color="auto"/>
        <w:left w:val="none" w:sz="0" w:space="0" w:color="auto"/>
        <w:bottom w:val="none" w:sz="0" w:space="0" w:color="auto"/>
        <w:right w:val="none" w:sz="0" w:space="0" w:color="auto"/>
      </w:divBdr>
    </w:div>
    <w:div w:id="484591097">
      <w:bodyDiv w:val="1"/>
      <w:marLeft w:val="0"/>
      <w:marRight w:val="0"/>
      <w:marTop w:val="0"/>
      <w:marBottom w:val="0"/>
      <w:divBdr>
        <w:top w:val="none" w:sz="0" w:space="0" w:color="auto"/>
        <w:left w:val="none" w:sz="0" w:space="0" w:color="auto"/>
        <w:bottom w:val="none" w:sz="0" w:space="0" w:color="auto"/>
        <w:right w:val="none" w:sz="0" w:space="0" w:color="auto"/>
      </w:divBdr>
      <w:divsChild>
        <w:div w:id="2037342392">
          <w:marLeft w:val="0"/>
          <w:marRight w:val="0"/>
          <w:marTop w:val="150"/>
          <w:marBottom w:val="0"/>
          <w:divBdr>
            <w:top w:val="none" w:sz="0" w:space="0" w:color="auto"/>
            <w:left w:val="none" w:sz="0" w:space="0" w:color="auto"/>
            <w:bottom w:val="none" w:sz="0" w:space="0" w:color="auto"/>
            <w:right w:val="none" w:sz="0" w:space="0" w:color="auto"/>
          </w:divBdr>
          <w:divsChild>
            <w:div w:id="359018559">
              <w:marLeft w:val="0"/>
              <w:marRight w:val="0"/>
              <w:marTop w:val="0"/>
              <w:marBottom w:val="0"/>
              <w:divBdr>
                <w:top w:val="single" w:sz="6" w:space="0" w:color="CADAE7"/>
                <w:left w:val="single" w:sz="6" w:space="0" w:color="CADAE7"/>
                <w:bottom w:val="single" w:sz="6" w:space="0" w:color="CADAE7"/>
                <w:right w:val="single" w:sz="6" w:space="0" w:color="CADAE7"/>
              </w:divBdr>
              <w:divsChild>
                <w:div w:id="671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582">
      <w:bodyDiv w:val="1"/>
      <w:marLeft w:val="0"/>
      <w:marRight w:val="0"/>
      <w:marTop w:val="0"/>
      <w:marBottom w:val="0"/>
      <w:divBdr>
        <w:top w:val="none" w:sz="0" w:space="0" w:color="auto"/>
        <w:left w:val="none" w:sz="0" w:space="0" w:color="auto"/>
        <w:bottom w:val="none" w:sz="0" w:space="0" w:color="auto"/>
        <w:right w:val="none" w:sz="0" w:space="0" w:color="auto"/>
      </w:divBdr>
    </w:div>
    <w:div w:id="543754843">
      <w:bodyDiv w:val="1"/>
      <w:marLeft w:val="0"/>
      <w:marRight w:val="0"/>
      <w:marTop w:val="0"/>
      <w:marBottom w:val="0"/>
      <w:divBdr>
        <w:top w:val="none" w:sz="0" w:space="0" w:color="auto"/>
        <w:left w:val="none" w:sz="0" w:space="0" w:color="auto"/>
        <w:bottom w:val="none" w:sz="0" w:space="0" w:color="auto"/>
        <w:right w:val="none" w:sz="0" w:space="0" w:color="auto"/>
      </w:divBdr>
    </w:div>
    <w:div w:id="555162947">
      <w:bodyDiv w:val="1"/>
      <w:marLeft w:val="0"/>
      <w:marRight w:val="0"/>
      <w:marTop w:val="0"/>
      <w:marBottom w:val="0"/>
      <w:divBdr>
        <w:top w:val="none" w:sz="0" w:space="0" w:color="auto"/>
        <w:left w:val="none" w:sz="0" w:space="0" w:color="auto"/>
        <w:bottom w:val="none" w:sz="0" w:space="0" w:color="auto"/>
        <w:right w:val="none" w:sz="0" w:space="0" w:color="auto"/>
      </w:divBdr>
    </w:div>
    <w:div w:id="573587873">
      <w:bodyDiv w:val="1"/>
      <w:marLeft w:val="0"/>
      <w:marRight w:val="0"/>
      <w:marTop w:val="0"/>
      <w:marBottom w:val="0"/>
      <w:divBdr>
        <w:top w:val="none" w:sz="0" w:space="0" w:color="auto"/>
        <w:left w:val="none" w:sz="0" w:space="0" w:color="auto"/>
        <w:bottom w:val="none" w:sz="0" w:space="0" w:color="auto"/>
        <w:right w:val="none" w:sz="0" w:space="0" w:color="auto"/>
      </w:divBdr>
      <w:divsChild>
        <w:div w:id="452284826">
          <w:marLeft w:val="0"/>
          <w:marRight w:val="0"/>
          <w:marTop w:val="0"/>
          <w:marBottom w:val="0"/>
          <w:divBdr>
            <w:top w:val="none" w:sz="0" w:space="0" w:color="auto"/>
            <w:left w:val="none" w:sz="0" w:space="0" w:color="auto"/>
            <w:bottom w:val="none" w:sz="0" w:space="0" w:color="auto"/>
            <w:right w:val="none" w:sz="0" w:space="0" w:color="auto"/>
          </w:divBdr>
          <w:divsChild>
            <w:div w:id="371081645">
              <w:marLeft w:val="0"/>
              <w:marRight w:val="0"/>
              <w:marTop w:val="0"/>
              <w:marBottom w:val="0"/>
              <w:divBdr>
                <w:top w:val="none" w:sz="0" w:space="0" w:color="auto"/>
                <w:left w:val="none" w:sz="0" w:space="0" w:color="auto"/>
                <w:bottom w:val="none" w:sz="0" w:space="0" w:color="auto"/>
                <w:right w:val="none" w:sz="0" w:space="0" w:color="auto"/>
              </w:divBdr>
              <w:divsChild>
                <w:div w:id="1446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7989">
      <w:bodyDiv w:val="1"/>
      <w:marLeft w:val="0"/>
      <w:marRight w:val="0"/>
      <w:marTop w:val="0"/>
      <w:marBottom w:val="0"/>
      <w:divBdr>
        <w:top w:val="none" w:sz="0" w:space="0" w:color="auto"/>
        <w:left w:val="none" w:sz="0" w:space="0" w:color="auto"/>
        <w:bottom w:val="none" w:sz="0" w:space="0" w:color="auto"/>
        <w:right w:val="none" w:sz="0" w:space="0" w:color="auto"/>
      </w:divBdr>
    </w:div>
    <w:div w:id="587881606">
      <w:bodyDiv w:val="1"/>
      <w:marLeft w:val="0"/>
      <w:marRight w:val="0"/>
      <w:marTop w:val="0"/>
      <w:marBottom w:val="0"/>
      <w:divBdr>
        <w:top w:val="none" w:sz="0" w:space="0" w:color="auto"/>
        <w:left w:val="none" w:sz="0" w:space="0" w:color="auto"/>
        <w:bottom w:val="none" w:sz="0" w:space="0" w:color="auto"/>
        <w:right w:val="none" w:sz="0" w:space="0" w:color="auto"/>
      </w:divBdr>
    </w:div>
    <w:div w:id="588077555">
      <w:bodyDiv w:val="1"/>
      <w:marLeft w:val="0"/>
      <w:marRight w:val="0"/>
      <w:marTop w:val="0"/>
      <w:marBottom w:val="0"/>
      <w:divBdr>
        <w:top w:val="none" w:sz="0" w:space="0" w:color="auto"/>
        <w:left w:val="none" w:sz="0" w:space="0" w:color="auto"/>
        <w:bottom w:val="none" w:sz="0" w:space="0" w:color="auto"/>
        <w:right w:val="none" w:sz="0" w:space="0" w:color="auto"/>
      </w:divBdr>
    </w:div>
    <w:div w:id="593830549">
      <w:bodyDiv w:val="1"/>
      <w:marLeft w:val="0"/>
      <w:marRight w:val="0"/>
      <w:marTop w:val="0"/>
      <w:marBottom w:val="0"/>
      <w:divBdr>
        <w:top w:val="none" w:sz="0" w:space="0" w:color="auto"/>
        <w:left w:val="none" w:sz="0" w:space="0" w:color="auto"/>
        <w:bottom w:val="none" w:sz="0" w:space="0" w:color="auto"/>
        <w:right w:val="none" w:sz="0" w:space="0" w:color="auto"/>
      </w:divBdr>
      <w:divsChild>
        <w:div w:id="86583657">
          <w:marLeft w:val="0"/>
          <w:marRight w:val="0"/>
          <w:marTop w:val="100"/>
          <w:marBottom w:val="100"/>
          <w:divBdr>
            <w:top w:val="none" w:sz="0" w:space="0" w:color="auto"/>
            <w:left w:val="none" w:sz="0" w:space="0" w:color="auto"/>
            <w:bottom w:val="none" w:sz="0" w:space="0" w:color="auto"/>
            <w:right w:val="none" w:sz="0" w:space="0" w:color="auto"/>
          </w:divBdr>
          <w:divsChild>
            <w:div w:id="1600210432">
              <w:marLeft w:val="0"/>
              <w:marRight w:val="0"/>
              <w:marTop w:val="0"/>
              <w:marBottom w:val="0"/>
              <w:divBdr>
                <w:top w:val="none" w:sz="0" w:space="0" w:color="auto"/>
                <w:left w:val="none" w:sz="0" w:space="0" w:color="auto"/>
                <w:bottom w:val="none" w:sz="0" w:space="0" w:color="auto"/>
                <w:right w:val="none" w:sz="0" w:space="0" w:color="auto"/>
              </w:divBdr>
              <w:divsChild>
                <w:div w:id="1902326209">
                  <w:marLeft w:val="0"/>
                  <w:marRight w:val="0"/>
                  <w:marTop w:val="0"/>
                  <w:marBottom w:val="0"/>
                  <w:divBdr>
                    <w:top w:val="none" w:sz="0" w:space="0" w:color="auto"/>
                    <w:left w:val="none" w:sz="0" w:space="0" w:color="auto"/>
                    <w:bottom w:val="none" w:sz="0" w:space="0" w:color="auto"/>
                    <w:right w:val="none" w:sz="0" w:space="0" w:color="auto"/>
                  </w:divBdr>
                  <w:divsChild>
                    <w:div w:id="2430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4340">
      <w:bodyDiv w:val="1"/>
      <w:marLeft w:val="0"/>
      <w:marRight w:val="0"/>
      <w:marTop w:val="0"/>
      <w:marBottom w:val="0"/>
      <w:divBdr>
        <w:top w:val="none" w:sz="0" w:space="0" w:color="auto"/>
        <w:left w:val="none" w:sz="0" w:space="0" w:color="auto"/>
        <w:bottom w:val="none" w:sz="0" w:space="0" w:color="auto"/>
        <w:right w:val="none" w:sz="0" w:space="0" w:color="auto"/>
      </w:divBdr>
      <w:divsChild>
        <w:div w:id="896740059">
          <w:marLeft w:val="0"/>
          <w:marRight w:val="0"/>
          <w:marTop w:val="100"/>
          <w:marBottom w:val="100"/>
          <w:divBdr>
            <w:top w:val="none" w:sz="0" w:space="0" w:color="auto"/>
            <w:left w:val="none" w:sz="0" w:space="0" w:color="auto"/>
            <w:bottom w:val="none" w:sz="0" w:space="0" w:color="auto"/>
            <w:right w:val="none" w:sz="0" w:space="0" w:color="auto"/>
          </w:divBdr>
          <w:divsChild>
            <w:div w:id="1495338617">
              <w:marLeft w:val="0"/>
              <w:marRight w:val="0"/>
              <w:marTop w:val="0"/>
              <w:marBottom w:val="0"/>
              <w:divBdr>
                <w:top w:val="none" w:sz="0" w:space="0" w:color="auto"/>
                <w:left w:val="none" w:sz="0" w:space="0" w:color="auto"/>
                <w:bottom w:val="none" w:sz="0" w:space="0" w:color="auto"/>
                <w:right w:val="none" w:sz="0" w:space="0" w:color="auto"/>
              </w:divBdr>
              <w:divsChild>
                <w:div w:id="36711756">
                  <w:marLeft w:val="0"/>
                  <w:marRight w:val="0"/>
                  <w:marTop w:val="0"/>
                  <w:marBottom w:val="0"/>
                  <w:divBdr>
                    <w:top w:val="none" w:sz="0" w:space="0" w:color="auto"/>
                    <w:left w:val="none" w:sz="0" w:space="0" w:color="auto"/>
                    <w:bottom w:val="none" w:sz="0" w:space="0" w:color="auto"/>
                    <w:right w:val="none" w:sz="0" w:space="0" w:color="auto"/>
                  </w:divBdr>
                  <w:divsChild>
                    <w:div w:id="21147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20342">
      <w:bodyDiv w:val="1"/>
      <w:marLeft w:val="0"/>
      <w:marRight w:val="0"/>
      <w:marTop w:val="0"/>
      <w:marBottom w:val="0"/>
      <w:divBdr>
        <w:top w:val="none" w:sz="0" w:space="0" w:color="auto"/>
        <w:left w:val="none" w:sz="0" w:space="0" w:color="auto"/>
        <w:bottom w:val="none" w:sz="0" w:space="0" w:color="auto"/>
        <w:right w:val="none" w:sz="0" w:space="0" w:color="auto"/>
      </w:divBdr>
    </w:div>
    <w:div w:id="633218698">
      <w:bodyDiv w:val="1"/>
      <w:marLeft w:val="0"/>
      <w:marRight w:val="0"/>
      <w:marTop w:val="0"/>
      <w:marBottom w:val="0"/>
      <w:divBdr>
        <w:top w:val="none" w:sz="0" w:space="0" w:color="auto"/>
        <w:left w:val="none" w:sz="0" w:space="0" w:color="auto"/>
        <w:bottom w:val="none" w:sz="0" w:space="0" w:color="auto"/>
        <w:right w:val="none" w:sz="0" w:space="0" w:color="auto"/>
      </w:divBdr>
    </w:div>
    <w:div w:id="635574804">
      <w:bodyDiv w:val="1"/>
      <w:marLeft w:val="0"/>
      <w:marRight w:val="0"/>
      <w:marTop w:val="0"/>
      <w:marBottom w:val="0"/>
      <w:divBdr>
        <w:top w:val="none" w:sz="0" w:space="0" w:color="auto"/>
        <w:left w:val="none" w:sz="0" w:space="0" w:color="auto"/>
        <w:bottom w:val="none" w:sz="0" w:space="0" w:color="auto"/>
        <w:right w:val="none" w:sz="0" w:space="0" w:color="auto"/>
      </w:divBdr>
    </w:div>
    <w:div w:id="652178024">
      <w:bodyDiv w:val="1"/>
      <w:marLeft w:val="0"/>
      <w:marRight w:val="0"/>
      <w:marTop w:val="0"/>
      <w:marBottom w:val="0"/>
      <w:divBdr>
        <w:top w:val="none" w:sz="0" w:space="0" w:color="auto"/>
        <w:left w:val="none" w:sz="0" w:space="0" w:color="auto"/>
        <w:bottom w:val="none" w:sz="0" w:space="0" w:color="auto"/>
        <w:right w:val="none" w:sz="0" w:space="0" w:color="auto"/>
      </w:divBdr>
    </w:div>
    <w:div w:id="668798820">
      <w:bodyDiv w:val="1"/>
      <w:marLeft w:val="0"/>
      <w:marRight w:val="0"/>
      <w:marTop w:val="0"/>
      <w:marBottom w:val="0"/>
      <w:divBdr>
        <w:top w:val="none" w:sz="0" w:space="0" w:color="auto"/>
        <w:left w:val="none" w:sz="0" w:space="0" w:color="auto"/>
        <w:bottom w:val="none" w:sz="0" w:space="0" w:color="auto"/>
        <w:right w:val="none" w:sz="0" w:space="0" w:color="auto"/>
      </w:divBdr>
      <w:divsChild>
        <w:div w:id="1039546893">
          <w:marLeft w:val="0"/>
          <w:marRight w:val="0"/>
          <w:marTop w:val="100"/>
          <w:marBottom w:val="100"/>
          <w:divBdr>
            <w:top w:val="none" w:sz="0" w:space="0" w:color="auto"/>
            <w:left w:val="none" w:sz="0" w:space="0" w:color="auto"/>
            <w:bottom w:val="none" w:sz="0" w:space="0" w:color="auto"/>
            <w:right w:val="none" w:sz="0" w:space="0" w:color="auto"/>
          </w:divBdr>
          <w:divsChild>
            <w:div w:id="449861980">
              <w:marLeft w:val="0"/>
              <w:marRight w:val="0"/>
              <w:marTop w:val="0"/>
              <w:marBottom w:val="0"/>
              <w:divBdr>
                <w:top w:val="none" w:sz="0" w:space="0" w:color="auto"/>
                <w:left w:val="none" w:sz="0" w:space="0" w:color="auto"/>
                <w:bottom w:val="none" w:sz="0" w:space="0" w:color="auto"/>
                <w:right w:val="none" w:sz="0" w:space="0" w:color="auto"/>
              </w:divBdr>
              <w:divsChild>
                <w:div w:id="1798405146">
                  <w:marLeft w:val="0"/>
                  <w:marRight w:val="0"/>
                  <w:marTop w:val="0"/>
                  <w:marBottom w:val="0"/>
                  <w:divBdr>
                    <w:top w:val="none" w:sz="0" w:space="0" w:color="auto"/>
                    <w:left w:val="none" w:sz="0" w:space="0" w:color="auto"/>
                    <w:bottom w:val="none" w:sz="0" w:space="0" w:color="auto"/>
                    <w:right w:val="none" w:sz="0" w:space="0" w:color="auto"/>
                  </w:divBdr>
                  <w:divsChild>
                    <w:div w:id="13007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91298">
      <w:bodyDiv w:val="1"/>
      <w:marLeft w:val="0"/>
      <w:marRight w:val="0"/>
      <w:marTop w:val="0"/>
      <w:marBottom w:val="0"/>
      <w:divBdr>
        <w:top w:val="none" w:sz="0" w:space="0" w:color="auto"/>
        <w:left w:val="none" w:sz="0" w:space="0" w:color="auto"/>
        <w:bottom w:val="none" w:sz="0" w:space="0" w:color="auto"/>
        <w:right w:val="none" w:sz="0" w:space="0" w:color="auto"/>
      </w:divBdr>
    </w:div>
    <w:div w:id="683478957">
      <w:bodyDiv w:val="1"/>
      <w:marLeft w:val="0"/>
      <w:marRight w:val="0"/>
      <w:marTop w:val="0"/>
      <w:marBottom w:val="0"/>
      <w:divBdr>
        <w:top w:val="none" w:sz="0" w:space="0" w:color="auto"/>
        <w:left w:val="none" w:sz="0" w:space="0" w:color="auto"/>
        <w:bottom w:val="none" w:sz="0" w:space="0" w:color="auto"/>
        <w:right w:val="none" w:sz="0" w:space="0" w:color="auto"/>
      </w:divBdr>
    </w:div>
    <w:div w:id="685059648">
      <w:bodyDiv w:val="1"/>
      <w:marLeft w:val="0"/>
      <w:marRight w:val="0"/>
      <w:marTop w:val="0"/>
      <w:marBottom w:val="0"/>
      <w:divBdr>
        <w:top w:val="none" w:sz="0" w:space="0" w:color="auto"/>
        <w:left w:val="none" w:sz="0" w:space="0" w:color="auto"/>
        <w:bottom w:val="none" w:sz="0" w:space="0" w:color="auto"/>
        <w:right w:val="none" w:sz="0" w:space="0" w:color="auto"/>
      </w:divBdr>
      <w:divsChild>
        <w:div w:id="1150251140">
          <w:marLeft w:val="0"/>
          <w:marRight w:val="0"/>
          <w:marTop w:val="0"/>
          <w:marBottom w:val="0"/>
          <w:divBdr>
            <w:top w:val="none" w:sz="0" w:space="0" w:color="auto"/>
            <w:left w:val="none" w:sz="0" w:space="0" w:color="auto"/>
            <w:bottom w:val="none" w:sz="0" w:space="0" w:color="auto"/>
            <w:right w:val="none" w:sz="0" w:space="0" w:color="auto"/>
          </w:divBdr>
          <w:divsChild>
            <w:div w:id="1797677918">
              <w:marLeft w:val="0"/>
              <w:marRight w:val="0"/>
              <w:marTop w:val="0"/>
              <w:marBottom w:val="0"/>
              <w:divBdr>
                <w:top w:val="none" w:sz="0" w:space="0" w:color="auto"/>
                <w:left w:val="none" w:sz="0" w:space="0" w:color="auto"/>
                <w:bottom w:val="none" w:sz="0" w:space="0" w:color="auto"/>
                <w:right w:val="none" w:sz="0" w:space="0" w:color="auto"/>
              </w:divBdr>
              <w:divsChild>
                <w:div w:id="450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6094">
      <w:bodyDiv w:val="1"/>
      <w:marLeft w:val="0"/>
      <w:marRight w:val="0"/>
      <w:marTop w:val="0"/>
      <w:marBottom w:val="0"/>
      <w:divBdr>
        <w:top w:val="none" w:sz="0" w:space="0" w:color="auto"/>
        <w:left w:val="none" w:sz="0" w:space="0" w:color="auto"/>
        <w:bottom w:val="none" w:sz="0" w:space="0" w:color="auto"/>
        <w:right w:val="none" w:sz="0" w:space="0" w:color="auto"/>
      </w:divBdr>
    </w:div>
    <w:div w:id="736830146">
      <w:bodyDiv w:val="1"/>
      <w:marLeft w:val="0"/>
      <w:marRight w:val="0"/>
      <w:marTop w:val="0"/>
      <w:marBottom w:val="0"/>
      <w:divBdr>
        <w:top w:val="none" w:sz="0" w:space="0" w:color="auto"/>
        <w:left w:val="none" w:sz="0" w:space="0" w:color="auto"/>
        <w:bottom w:val="none" w:sz="0" w:space="0" w:color="auto"/>
        <w:right w:val="none" w:sz="0" w:space="0" w:color="auto"/>
      </w:divBdr>
      <w:divsChild>
        <w:div w:id="1177891267">
          <w:marLeft w:val="0"/>
          <w:marRight w:val="0"/>
          <w:marTop w:val="0"/>
          <w:marBottom w:val="0"/>
          <w:divBdr>
            <w:top w:val="none" w:sz="0" w:space="0" w:color="auto"/>
            <w:left w:val="none" w:sz="0" w:space="0" w:color="auto"/>
            <w:bottom w:val="none" w:sz="0" w:space="0" w:color="auto"/>
            <w:right w:val="none" w:sz="0" w:space="0" w:color="auto"/>
          </w:divBdr>
          <w:divsChild>
            <w:div w:id="2076850165">
              <w:marLeft w:val="0"/>
              <w:marRight w:val="0"/>
              <w:marTop w:val="0"/>
              <w:marBottom w:val="0"/>
              <w:divBdr>
                <w:top w:val="none" w:sz="0" w:space="0" w:color="auto"/>
                <w:left w:val="none" w:sz="0" w:space="0" w:color="auto"/>
                <w:bottom w:val="none" w:sz="0" w:space="0" w:color="auto"/>
                <w:right w:val="none" w:sz="0" w:space="0" w:color="auto"/>
              </w:divBdr>
              <w:divsChild>
                <w:div w:id="1255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876">
      <w:bodyDiv w:val="1"/>
      <w:marLeft w:val="0"/>
      <w:marRight w:val="0"/>
      <w:marTop w:val="0"/>
      <w:marBottom w:val="0"/>
      <w:divBdr>
        <w:top w:val="none" w:sz="0" w:space="0" w:color="auto"/>
        <w:left w:val="none" w:sz="0" w:space="0" w:color="auto"/>
        <w:bottom w:val="none" w:sz="0" w:space="0" w:color="auto"/>
        <w:right w:val="none" w:sz="0" w:space="0" w:color="auto"/>
      </w:divBdr>
      <w:divsChild>
        <w:div w:id="126973554">
          <w:marLeft w:val="0"/>
          <w:marRight w:val="0"/>
          <w:marTop w:val="0"/>
          <w:marBottom w:val="0"/>
          <w:divBdr>
            <w:top w:val="none" w:sz="0" w:space="0" w:color="auto"/>
            <w:left w:val="none" w:sz="0" w:space="0" w:color="auto"/>
            <w:bottom w:val="none" w:sz="0" w:space="0" w:color="auto"/>
            <w:right w:val="none" w:sz="0" w:space="0" w:color="auto"/>
          </w:divBdr>
          <w:divsChild>
            <w:div w:id="173611173">
              <w:marLeft w:val="0"/>
              <w:marRight w:val="0"/>
              <w:marTop w:val="100"/>
              <w:marBottom w:val="100"/>
              <w:divBdr>
                <w:top w:val="none" w:sz="0" w:space="0" w:color="auto"/>
                <w:left w:val="none" w:sz="0" w:space="0" w:color="auto"/>
                <w:bottom w:val="none" w:sz="0" w:space="0" w:color="auto"/>
                <w:right w:val="none" w:sz="0" w:space="0" w:color="auto"/>
              </w:divBdr>
              <w:divsChild>
                <w:div w:id="1077941246">
                  <w:marLeft w:val="0"/>
                  <w:marRight w:val="0"/>
                  <w:marTop w:val="0"/>
                  <w:marBottom w:val="0"/>
                  <w:divBdr>
                    <w:top w:val="none" w:sz="0" w:space="0" w:color="auto"/>
                    <w:left w:val="none" w:sz="0" w:space="0" w:color="auto"/>
                    <w:bottom w:val="none" w:sz="0" w:space="0" w:color="auto"/>
                    <w:right w:val="none" w:sz="0" w:space="0" w:color="auto"/>
                  </w:divBdr>
                  <w:divsChild>
                    <w:div w:id="569197508">
                      <w:marLeft w:val="0"/>
                      <w:marRight w:val="0"/>
                      <w:marTop w:val="225"/>
                      <w:marBottom w:val="0"/>
                      <w:divBdr>
                        <w:top w:val="none" w:sz="0" w:space="0" w:color="auto"/>
                        <w:left w:val="none" w:sz="0" w:space="0" w:color="auto"/>
                        <w:bottom w:val="none" w:sz="0" w:space="0" w:color="auto"/>
                        <w:right w:val="none" w:sz="0" w:space="0" w:color="auto"/>
                      </w:divBdr>
                      <w:divsChild>
                        <w:div w:id="1507524769">
                          <w:marLeft w:val="0"/>
                          <w:marRight w:val="0"/>
                          <w:marTop w:val="0"/>
                          <w:marBottom w:val="0"/>
                          <w:divBdr>
                            <w:top w:val="none" w:sz="0" w:space="0" w:color="auto"/>
                            <w:left w:val="none" w:sz="0" w:space="0" w:color="auto"/>
                            <w:bottom w:val="none" w:sz="0" w:space="0" w:color="auto"/>
                            <w:right w:val="none" w:sz="0" w:space="0" w:color="auto"/>
                          </w:divBdr>
                          <w:divsChild>
                            <w:div w:id="1393040185">
                              <w:marLeft w:val="0"/>
                              <w:marRight w:val="0"/>
                              <w:marTop w:val="0"/>
                              <w:marBottom w:val="0"/>
                              <w:divBdr>
                                <w:top w:val="none" w:sz="0" w:space="0" w:color="auto"/>
                                <w:left w:val="none" w:sz="0" w:space="0" w:color="auto"/>
                                <w:bottom w:val="none" w:sz="0" w:space="0" w:color="auto"/>
                                <w:right w:val="none" w:sz="0" w:space="0" w:color="auto"/>
                              </w:divBdr>
                              <w:divsChild>
                                <w:div w:id="12090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71682">
      <w:bodyDiv w:val="1"/>
      <w:marLeft w:val="0"/>
      <w:marRight w:val="0"/>
      <w:marTop w:val="0"/>
      <w:marBottom w:val="0"/>
      <w:divBdr>
        <w:top w:val="none" w:sz="0" w:space="0" w:color="auto"/>
        <w:left w:val="none" w:sz="0" w:space="0" w:color="auto"/>
        <w:bottom w:val="none" w:sz="0" w:space="0" w:color="auto"/>
        <w:right w:val="none" w:sz="0" w:space="0" w:color="auto"/>
      </w:divBdr>
      <w:divsChild>
        <w:div w:id="359596644">
          <w:marLeft w:val="0"/>
          <w:marRight w:val="0"/>
          <w:marTop w:val="150"/>
          <w:marBottom w:val="0"/>
          <w:divBdr>
            <w:top w:val="none" w:sz="0" w:space="0" w:color="auto"/>
            <w:left w:val="none" w:sz="0" w:space="0" w:color="auto"/>
            <w:bottom w:val="none" w:sz="0" w:space="0" w:color="auto"/>
            <w:right w:val="none" w:sz="0" w:space="0" w:color="auto"/>
          </w:divBdr>
          <w:divsChild>
            <w:div w:id="1772504746">
              <w:marLeft w:val="0"/>
              <w:marRight w:val="0"/>
              <w:marTop w:val="0"/>
              <w:marBottom w:val="0"/>
              <w:divBdr>
                <w:top w:val="single" w:sz="6" w:space="0" w:color="CADAE7"/>
                <w:left w:val="single" w:sz="6" w:space="0" w:color="CADAE7"/>
                <w:bottom w:val="single" w:sz="6" w:space="0" w:color="CADAE7"/>
                <w:right w:val="single" w:sz="6" w:space="0" w:color="CADAE7"/>
              </w:divBdr>
              <w:divsChild>
                <w:div w:id="665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8393">
      <w:bodyDiv w:val="1"/>
      <w:marLeft w:val="0"/>
      <w:marRight w:val="0"/>
      <w:marTop w:val="0"/>
      <w:marBottom w:val="0"/>
      <w:divBdr>
        <w:top w:val="none" w:sz="0" w:space="0" w:color="auto"/>
        <w:left w:val="none" w:sz="0" w:space="0" w:color="auto"/>
        <w:bottom w:val="none" w:sz="0" w:space="0" w:color="auto"/>
        <w:right w:val="none" w:sz="0" w:space="0" w:color="auto"/>
      </w:divBdr>
      <w:divsChild>
        <w:div w:id="304968943">
          <w:marLeft w:val="0"/>
          <w:marRight w:val="0"/>
          <w:marTop w:val="0"/>
          <w:marBottom w:val="0"/>
          <w:divBdr>
            <w:top w:val="none" w:sz="0" w:space="0" w:color="auto"/>
            <w:left w:val="none" w:sz="0" w:space="0" w:color="auto"/>
            <w:bottom w:val="none" w:sz="0" w:space="0" w:color="auto"/>
            <w:right w:val="none" w:sz="0" w:space="0" w:color="auto"/>
          </w:divBdr>
          <w:divsChild>
            <w:div w:id="1004433493">
              <w:marLeft w:val="0"/>
              <w:marRight w:val="0"/>
              <w:marTop w:val="0"/>
              <w:marBottom w:val="0"/>
              <w:divBdr>
                <w:top w:val="none" w:sz="0" w:space="0" w:color="auto"/>
                <w:left w:val="none" w:sz="0" w:space="0" w:color="auto"/>
                <w:bottom w:val="none" w:sz="0" w:space="0" w:color="auto"/>
                <w:right w:val="none" w:sz="0" w:space="0" w:color="auto"/>
              </w:divBdr>
              <w:divsChild>
                <w:div w:id="7824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9800">
      <w:bodyDiv w:val="1"/>
      <w:marLeft w:val="0"/>
      <w:marRight w:val="0"/>
      <w:marTop w:val="0"/>
      <w:marBottom w:val="0"/>
      <w:divBdr>
        <w:top w:val="none" w:sz="0" w:space="0" w:color="auto"/>
        <w:left w:val="none" w:sz="0" w:space="0" w:color="auto"/>
        <w:bottom w:val="none" w:sz="0" w:space="0" w:color="auto"/>
        <w:right w:val="none" w:sz="0" w:space="0" w:color="auto"/>
      </w:divBdr>
    </w:div>
    <w:div w:id="813791859">
      <w:bodyDiv w:val="1"/>
      <w:marLeft w:val="0"/>
      <w:marRight w:val="0"/>
      <w:marTop w:val="0"/>
      <w:marBottom w:val="0"/>
      <w:divBdr>
        <w:top w:val="none" w:sz="0" w:space="0" w:color="auto"/>
        <w:left w:val="none" w:sz="0" w:space="0" w:color="auto"/>
        <w:bottom w:val="none" w:sz="0" w:space="0" w:color="auto"/>
        <w:right w:val="none" w:sz="0" w:space="0" w:color="auto"/>
      </w:divBdr>
    </w:div>
    <w:div w:id="830683127">
      <w:bodyDiv w:val="1"/>
      <w:marLeft w:val="0"/>
      <w:marRight w:val="0"/>
      <w:marTop w:val="0"/>
      <w:marBottom w:val="0"/>
      <w:divBdr>
        <w:top w:val="none" w:sz="0" w:space="0" w:color="auto"/>
        <w:left w:val="none" w:sz="0" w:space="0" w:color="auto"/>
        <w:bottom w:val="none" w:sz="0" w:space="0" w:color="auto"/>
        <w:right w:val="none" w:sz="0" w:space="0" w:color="auto"/>
      </w:divBdr>
    </w:div>
    <w:div w:id="830876163">
      <w:bodyDiv w:val="1"/>
      <w:marLeft w:val="0"/>
      <w:marRight w:val="0"/>
      <w:marTop w:val="0"/>
      <w:marBottom w:val="0"/>
      <w:divBdr>
        <w:top w:val="none" w:sz="0" w:space="0" w:color="auto"/>
        <w:left w:val="none" w:sz="0" w:space="0" w:color="auto"/>
        <w:bottom w:val="none" w:sz="0" w:space="0" w:color="auto"/>
        <w:right w:val="none" w:sz="0" w:space="0" w:color="auto"/>
      </w:divBdr>
    </w:div>
    <w:div w:id="837618368">
      <w:bodyDiv w:val="1"/>
      <w:marLeft w:val="0"/>
      <w:marRight w:val="0"/>
      <w:marTop w:val="0"/>
      <w:marBottom w:val="0"/>
      <w:divBdr>
        <w:top w:val="none" w:sz="0" w:space="0" w:color="auto"/>
        <w:left w:val="none" w:sz="0" w:space="0" w:color="auto"/>
        <w:bottom w:val="none" w:sz="0" w:space="0" w:color="auto"/>
        <w:right w:val="none" w:sz="0" w:space="0" w:color="auto"/>
      </w:divBdr>
      <w:divsChild>
        <w:div w:id="1630428625">
          <w:marLeft w:val="0"/>
          <w:marRight w:val="0"/>
          <w:marTop w:val="0"/>
          <w:marBottom w:val="0"/>
          <w:divBdr>
            <w:top w:val="none" w:sz="0" w:space="0" w:color="auto"/>
            <w:left w:val="none" w:sz="0" w:space="0" w:color="auto"/>
            <w:bottom w:val="none" w:sz="0" w:space="0" w:color="auto"/>
            <w:right w:val="none" w:sz="0" w:space="0" w:color="auto"/>
          </w:divBdr>
          <w:divsChild>
            <w:div w:id="1407343088">
              <w:marLeft w:val="0"/>
              <w:marRight w:val="0"/>
              <w:marTop w:val="0"/>
              <w:marBottom w:val="0"/>
              <w:divBdr>
                <w:top w:val="none" w:sz="0" w:space="0" w:color="auto"/>
                <w:left w:val="none" w:sz="0" w:space="0" w:color="auto"/>
                <w:bottom w:val="none" w:sz="0" w:space="0" w:color="auto"/>
                <w:right w:val="none" w:sz="0" w:space="0" w:color="auto"/>
              </w:divBdr>
              <w:divsChild>
                <w:div w:id="15827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9330">
      <w:bodyDiv w:val="1"/>
      <w:marLeft w:val="0"/>
      <w:marRight w:val="0"/>
      <w:marTop w:val="0"/>
      <w:marBottom w:val="0"/>
      <w:divBdr>
        <w:top w:val="none" w:sz="0" w:space="0" w:color="auto"/>
        <w:left w:val="none" w:sz="0" w:space="0" w:color="auto"/>
        <w:bottom w:val="none" w:sz="0" w:space="0" w:color="auto"/>
        <w:right w:val="none" w:sz="0" w:space="0" w:color="auto"/>
      </w:divBdr>
      <w:divsChild>
        <w:div w:id="978917225">
          <w:marLeft w:val="0"/>
          <w:marRight w:val="0"/>
          <w:marTop w:val="0"/>
          <w:marBottom w:val="0"/>
          <w:divBdr>
            <w:top w:val="none" w:sz="0" w:space="0" w:color="auto"/>
            <w:left w:val="none" w:sz="0" w:space="0" w:color="auto"/>
            <w:bottom w:val="none" w:sz="0" w:space="0" w:color="auto"/>
            <w:right w:val="none" w:sz="0" w:space="0" w:color="auto"/>
          </w:divBdr>
          <w:divsChild>
            <w:div w:id="1484153250">
              <w:marLeft w:val="0"/>
              <w:marRight w:val="0"/>
              <w:marTop w:val="0"/>
              <w:marBottom w:val="0"/>
              <w:divBdr>
                <w:top w:val="none" w:sz="0" w:space="0" w:color="auto"/>
                <w:left w:val="none" w:sz="0" w:space="0" w:color="auto"/>
                <w:bottom w:val="none" w:sz="0" w:space="0" w:color="auto"/>
                <w:right w:val="none" w:sz="0" w:space="0" w:color="auto"/>
              </w:divBdr>
              <w:divsChild>
                <w:div w:id="2086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9319">
      <w:bodyDiv w:val="1"/>
      <w:marLeft w:val="0"/>
      <w:marRight w:val="0"/>
      <w:marTop w:val="0"/>
      <w:marBottom w:val="0"/>
      <w:divBdr>
        <w:top w:val="none" w:sz="0" w:space="0" w:color="auto"/>
        <w:left w:val="none" w:sz="0" w:space="0" w:color="auto"/>
        <w:bottom w:val="none" w:sz="0" w:space="0" w:color="auto"/>
        <w:right w:val="none" w:sz="0" w:space="0" w:color="auto"/>
      </w:divBdr>
    </w:div>
    <w:div w:id="873813095">
      <w:bodyDiv w:val="1"/>
      <w:marLeft w:val="0"/>
      <w:marRight w:val="0"/>
      <w:marTop w:val="0"/>
      <w:marBottom w:val="0"/>
      <w:divBdr>
        <w:top w:val="none" w:sz="0" w:space="0" w:color="auto"/>
        <w:left w:val="none" w:sz="0" w:space="0" w:color="auto"/>
        <w:bottom w:val="none" w:sz="0" w:space="0" w:color="auto"/>
        <w:right w:val="none" w:sz="0" w:space="0" w:color="auto"/>
      </w:divBdr>
    </w:div>
    <w:div w:id="890310132">
      <w:bodyDiv w:val="1"/>
      <w:marLeft w:val="0"/>
      <w:marRight w:val="0"/>
      <w:marTop w:val="0"/>
      <w:marBottom w:val="0"/>
      <w:divBdr>
        <w:top w:val="none" w:sz="0" w:space="0" w:color="auto"/>
        <w:left w:val="none" w:sz="0" w:space="0" w:color="auto"/>
        <w:bottom w:val="none" w:sz="0" w:space="0" w:color="auto"/>
        <w:right w:val="none" w:sz="0" w:space="0" w:color="auto"/>
      </w:divBdr>
    </w:div>
    <w:div w:id="891692957">
      <w:bodyDiv w:val="1"/>
      <w:marLeft w:val="0"/>
      <w:marRight w:val="0"/>
      <w:marTop w:val="0"/>
      <w:marBottom w:val="0"/>
      <w:divBdr>
        <w:top w:val="none" w:sz="0" w:space="0" w:color="auto"/>
        <w:left w:val="none" w:sz="0" w:space="0" w:color="auto"/>
        <w:bottom w:val="none" w:sz="0" w:space="0" w:color="auto"/>
        <w:right w:val="none" w:sz="0" w:space="0" w:color="auto"/>
      </w:divBdr>
    </w:div>
    <w:div w:id="898595702">
      <w:bodyDiv w:val="1"/>
      <w:marLeft w:val="0"/>
      <w:marRight w:val="0"/>
      <w:marTop w:val="0"/>
      <w:marBottom w:val="0"/>
      <w:divBdr>
        <w:top w:val="none" w:sz="0" w:space="0" w:color="auto"/>
        <w:left w:val="none" w:sz="0" w:space="0" w:color="auto"/>
        <w:bottom w:val="none" w:sz="0" w:space="0" w:color="auto"/>
        <w:right w:val="none" w:sz="0" w:space="0" w:color="auto"/>
      </w:divBdr>
    </w:div>
    <w:div w:id="915747235">
      <w:bodyDiv w:val="1"/>
      <w:marLeft w:val="0"/>
      <w:marRight w:val="0"/>
      <w:marTop w:val="0"/>
      <w:marBottom w:val="0"/>
      <w:divBdr>
        <w:top w:val="none" w:sz="0" w:space="0" w:color="auto"/>
        <w:left w:val="none" w:sz="0" w:space="0" w:color="auto"/>
        <w:bottom w:val="none" w:sz="0" w:space="0" w:color="auto"/>
        <w:right w:val="none" w:sz="0" w:space="0" w:color="auto"/>
      </w:divBdr>
      <w:divsChild>
        <w:div w:id="1594783357">
          <w:marLeft w:val="0"/>
          <w:marRight w:val="0"/>
          <w:marTop w:val="100"/>
          <w:marBottom w:val="100"/>
          <w:divBdr>
            <w:top w:val="none" w:sz="0" w:space="0" w:color="auto"/>
            <w:left w:val="none" w:sz="0" w:space="0" w:color="auto"/>
            <w:bottom w:val="none" w:sz="0" w:space="0" w:color="auto"/>
            <w:right w:val="none" w:sz="0" w:space="0" w:color="auto"/>
          </w:divBdr>
          <w:divsChild>
            <w:div w:id="1324965500">
              <w:marLeft w:val="0"/>
              <w:marRight w:val="0"/>
              <w:marTop w:val="0"/>
              <w:marBottom w:val="0"/>
              <w:divBdr>
                <w:top w:val="none" w:sz="0" w:space="0" w:color="auto"/>
                <w:left w:val="none" w:sz="0" w:space="0" w:color="auto"/>
                <w:bottom w:val="none" w:sz="0" w:space="0" w:color="auto"/>
                <w:right w:val="none" w:sz="0" w:space="0" w:color="auto"/>
              </w:divBdr>
              <w:divsChild>
                <w:div w:id="622348929">
                  <w:marLeft w:val="0"/>
                  <w:marRight w:val="0"/>
                  <w:marTop w:val="0"/>
                  <w:marBottom w:val="0"/>
                  <w:divBdr>
                    <w:top w:val="none" w:sz="0" w:space="0" w:color="auto"/>
                    <w:left w:val="none" w:sz="0" w:space="0" w:color="auto"/>
                    <w:bottom w:val="none" w:sz="0" w:space="0" w:color="auto"/>
                    <w:right w:val="none" w:sz="0" w:space="0" w:color="auto"/>
                  </w:divBdr>
                  <w:divsChild>
                    <w:div w:id="19694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86533">
      <w:bodyDiv w:val="1"/>
      <w:marLeft w:val="0"/>
      <w:marRight w:val="0"/>
      <w:marTop w:val="0"/>
      <w:marBottom w:val="0"/>
      <w:divBdr>
        <w:top w:val="none" w:sz="0" w:space="0" w:color="auto"/>
        <w:left w:val="none" w:sz="0" w:space="0" w:color="auto"/>
        <w:bottom w:val="none" w:sz="0" w:space="0" w:color="auto"/>
        <w:right w:val="none" w:sz="0" w:space="0" w:color="auto"/>
      </w:divBdr>
    </w:div>
    <w:div w:id="931738899">
      <w:bodyDiv w:val="1"/>
      <w:marLeft w:val="0"/>
      <w:marRight w:val="0"/>
      <w:marTop w:val="0"/>
      <w:marBottom w:val="0"/>
      <w:divBdr>
        <w:top w:val="none" w:sz="0" w:space="0" w:color="auto"/>
        <w:left w:val="none" w:sz="0" w:space="0" w:color="auto"/>
        <w:bottom w:val="none" w:sz="0" w:space="0" w:color="auto"/>
        <w:right w:val="none" w:sz="0" w:space="0" w:color="auto"/>
      </w:divBdr>
      <w:divsChild>
        <w:div w:id="191462337">
          <w:marLeft w:val="0"/>
          <w:marRight w:val="0"/>
          <w:marTop w:val="0"/>
          <w:marBottom w:val="0"/>
          <w:divBdr>
            <w:top w:val="none" w:sz="0" w:space="0" w:color="auto"/>
            <w:left w:val="none" w:sz="0" w:space="0" w:color="auto"/>
            <w:bottom w:val="none" w:sz="0" w:space="0" w:color="auto"/>
            <w:right w:val="none" w:sz="0" w:space="0" w:color="auto"/>
          </w:divBdr>
          <w:divsChild>
            <w:div w:id="816609672">
              <w:marLeft w:val="0"/>
              <w:marRight w:val="0"/>
              <w:marTop w:val="0"/>
              <w:marBottom w:val="0"/>
              <w:divBdr>
                <w:top w:val="none" w:sz="0" w:space="0" w:color="auto"/>
                <w:left w:val="none" w:sz="0" w:space="0" w:color="auto"/>
                <w:bottom w:val="none" w:sz="0" w:space="0" w:color="auto"/>
                <w:right w:val="none" w:sz="0" w:space="0" w:color="auto"/>
              </w:divBdr>
              <w:divsChild>
                <w:div w:id="18020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990">
      <w:bodyDiv w:val="1"/>
      <w:marLeft w:val="0"/>
      <w:marRight w:val="0"/>
      <w:marTop w:val="0"/>
      <w:marBottom w:val="0"/>
      <w:divBdr>
        <w:top w:val="none" w:sz="0" w:space="0" w:color="auto"/>
        <w:left w:val="none" w:sz="0" w:space="0" w:color="auto"/>
        <w:bottom w:val="none" w:sz="0" w:space="0" w:color="auto"/>
        <w:right w:val="none" w:sz="0" w:space="0" w:color="auto"/>
      </w:divBdr>
    </w:div>
    <w:div w:id="943001804">
      <w:bodyDiv w:val="1"/>
      <w:marLeft w:val="0"/>
      <w:marRight w:val="0"/>
      <w:marTop w:val="0"/>
      <w:marBottom w:val="0"/>
      <w:divBdr>
        <w:top w:val="none" w:sz="0" w:space="0" w:color="auto"/>
        <w:left w:val="none" w:sz="0" w:space="0" w:color="auto"/>
        <w:bottom w:val="none" w:sz="0" w:space="0" w:color="auto"/>
        <w:right w:val="none" w:sz="0" w:space="0" w:color="auto"/>
      </w:divBdr>
    </w:div>
    <w:div w:id="964238876">
      <w:bodyDiv w:val="1"/>
      <w:marLeft w:val="0"/>
      <w:marRight w:val="0"/>
      <w:marTop w:val="0"/>
      <w:marBottom w:val="0"/>
      <w:divBdr>
        <w:top w:val="none" w:sz="0" w:space="0" w:color="auto"/>
        <w:left w:val="none" w:sz="0" w:space="0" w:color="auto"/>
        <w:bottom w:val="none" w:sz="0" w:space="0" w:color="auto"/>
        <w:right w:val="none" w:sz="0" w:space="0" w:color="auto"/>
      </w:divBdr>
    </w:div>
    <w:div w:id="970984527">
      <w:bodyDiv w:val="1"/>
      <w:marLeft w:val="0"/>
      <w:marRight w:val="0"/>
      <w:marTop w:val="0"/>
      <w:marBottom w:val="0"/>
      <w:divBdr>
        <w:top w:val="none" w:sz="0" w:space="0" w:color="auto"/>
        <w:left w:val="none" w:sz="0" w:space="0" w:color="auto"/>
        <w:bottom w:val="none" w:sz="0" w:space="0" w:color="auto"/>
        <w:right w:val="none" w:sz="0" w:space="0" w:color="auto"/>
      </w:divBdr>
    </w:div>
    <w:div w:id="975456385">
      <w:bodyDiv w:val="1"/>
      <w:marLeft w:val="0"/>
      <w:marRight w:val="0"/>
      <w:marTop w:val="0"/>
      <w:marBottom w:val="0"/>
      <w:divBdr>
        <w:top w:val="none" w:sz="0" w:space="0" w:color="auto"/>
        <w:left w:val="none" w:sz="0" w:space="0" w:color="auto"/>
        <w:bottom w:val="none" w:sz="0" w:space="0" w:color="auto"/>
        <w:right w:val="none" w:sz="0" w:space="0" w:color="auto"/>
      </w:divBdr>
      <w:divsChild>
        <w:div w:id="1656836884">
          <w:marLeft w:val="0"/>
          <w:marRight w:val="0"/>
          <w:marTop w:val="0"/>
          <w:marBottom w:val="0"/>
          <w:divBdr>
            <w:top w:val="none" w:sz="0" w:space="0" w:color="auto"/>
            <w:left w:val="none" w:sz="0" w:space="0" w:color="auto"/>
            <w:bottom w:val="none" w:sz="0" w:space="0" w:color="auto"/>
            <w:right w:val="none" w:sz="0" w:space="0" w:color="auto"/>
          </w:divBdr>
          <w:divsChild>
            <w:div w:id="84032345">
              <w:marLeft w:val="0"/>
              <w:marRight w:val="0"/>
              <w:marTop w:val="0"/>
              <w:marBottom w:val="0"/>
              <w:divBdr>
                <w:top w:val="none" w:sz="0" w:space="0" w:color="auto"/>
                <w:left w:val="none" w:sz="0" w:space="0" w:color="auto"/>
                <w:bottom w:val="none" w:sz="0" w:space="0" w:color="auto"/>
                <w:right w:val="none" w:sz="0" w:space="0" w:color="auto"/>
              </w:divBdr>
              <w:divsChild>
                <w:div w:id="1149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1173">
      <w:bodyDiv w:val="1"/>
      <w:marLeft w:val="0"/>
      <w:marRight w:val="0"/>
      <w:marTop w:val="0"/>
      <w:marBottom w:val="0"/>
      <w:divBdr>
        <w:top w:val="none" w:sz="0" w:space="0" w:color="auto"/>
        <w:left w:val="none" w:sz="0" w:space="0" w:color="auto"/>
        <w:bottom w:val="none" w:sz="0" w:space="0" w:color="auto"/>
        <w:right w:val="none" w:sz="0" w:space="0" w:color="auto"/>
      </w:divBdr>
    </w:div>
    <w:div w:id="1002925696">
      <w:bodyDiv w:val="1"/>
      <w:marLeft w:val="0"/>
      <w:marRight w:val="0"/>
      <w:marTop w:val="0"/>
      <w:marBottom w:val="0"/>
      <w:divBdr>
        <w:top w:val="none" w:sz="0" w:space="0" w:color="auto"/>
        <w:left w:val="none" w:sz="0" w:space="0" w:color="auto"/>
        <w:bottom w:val="none" w:sz="0" w:space="0" w:color="auto"/>
        <w:right w:val="none" w:sz="0" w:space="0" w:color="auto"/>
      </w:divBdr>
    </w:div>
    <w:div w:id="1004283979">
      <w:bodyDiv w:val="1"/>
      <w:marLeft w:val="0"/>
      <w:marRight w:val="0"/>
      <w:marTop w:val="0"/>
      <w:marBottom w:val="0"/>
      <w:divBdr>
        <w:top w:val="none" w:sz="0" w:space="0" w:color="auto"/>
        <w:left w:val="none" w:sz="0" w:space="0" w:color="auto"/>
        <w:bottom w:val="none" w:sz="0" w:space="0" w:color="auto"/>
        <w:right w:val="none" w:sz="0" w:space="0" w:color="auto"/>
      </w:divBdr>
    </w:div>
    <w:div w:id="1010645515">
      <w:bodyDiv w:val="1"/>
      <w:marLeft w:val="0"/>
      <w:marRight w:val="0"/>
      <w:marTop w:val="0"/>
      <w:marBottom w:val="0"/>
      <w:divBdr>
        <w:top w:val="none" w:sz="0" w:space="0" w:color="auto"/>
        <w:left w:val="none" w:sz="0" w:space="0" w:color="auto"/>
        <w:bottom w:val="none" w:sz="0" w:space="0" w:color="auto"/>
        <w:right w:val="none" w:sz="0" w:space="0" w:color="auto"/>
      </w:divBdr>
      <w:divsChild>
        <w:div w:id="758721250">
          <w:marLeft w:val="0"/>
          <w:marRight w:val="0"/>
          <w:marTop w:val="0"/>
          <w:marBottom w:val="0"/>
          <w:divBdr>
            <w:top w:val="none" w:sz="0" w:space="0" w:color="auto"/>
            <w:left w:val="none" w:sz="0" w:space="0" w:color="auto"/>
            <w:bottom w:val="none" w:sz="0" w:space="0" w:color="auto"/>
            <w:right w:val="none" w:sz="0" w:space="0" w:color="auto"/>
          </w:divBdr>
          <w:divsChild>
            <w:div w:id="1126268444">
              <w:marLeft w:val="0"/>
              <w:marRight w:val="0"/>
              <w:marTop w:val="0"/>
              <w:marBottom w:val="0"/>
              <w:divBdr>
                <w:top w:val="none" w:sz="0" w:space="0" w:color="auto"/>
                <w:left w:val="none" w:sz="0" w:space="0" w:color="auto"/>
                <w:bottom w:val="none" w:sz="0" w:space="0" w:color="auto"/>
                <w:right w:val="none" w:sz="0" w:space="0" w:color="auto"/>
              </w:divBdr>
              <w:divsChild>
                <w:div w:id="1196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711">
      <w:bodyDiv w:val="1"/>
      <w:marLeft w:val="0"/>
      <w:marRight w:val="0"/>
      <w:marTop w:val="0"/>
      <w:marBottom w:val="0"/>
      <w:divBdr>
        <w:top w:val="none" w:sz="0" w:space="0" w:color="auto"/>
        <w:left w:val="none" w:sz="0" w:space="0" w:color="auto"/>
        <w:bottom w:val="none" w:sz="0" w:space="0" w:color="auto"/>
        <w:right w:val="none" w:sz="0" w:space="0" w:color="auto"/>
      </w:divBdr>
    </w:div>
    <w:div w:id="1036346992">
      <w:bodyDiv w:val="1"/>
      <w:marLeft w:val="0"/>
      <w:marRight w:val="0"/>
      <w:marTop w:val="0"/>
      <w:marBottom w:val="0"/>
      <w:divBdr>
        <w:top w:val="none" w:sz="0" w:space="0" w:color="auto"/>
        <w:left w:val="none" w:sz="0" w:space="0" w:color="auto"/>
        <w:bottom w:val="none" w:sz="0" w:space="0" w:color="auto"/>
        <w:right w:val="none" w:sz="0" w:space="0" w:color="auto"/>
      </w:divBdr>
    </w:div>
    <w:div w:id="1039283891">
      <w:bodyDiv w:val="1"/>
      <w:marLeft w:val="0"/>
      <w:marRight w:val="0"/>
      <w:marTop w:val="0"/>
      <w:marBottom w:val="0"/>
      <w:divBdr>
        <w:top w:val="none" w:sz="0" w:space="0" w:color="auto"/>
        <w:left w:val="none" w:sz="0" w:space="0" w:color="auto"/>
        <w:bottom w:val="none" w:sz="0" w:space="0" w:color="auto"/>
        <w:right w:val="none" w:sz="0" w:space="0" w:color="auto"/>
      </w:divBdr>
    </w:div>
    <w:div w:id="1050499394">
      <w:bodyDiv w:val="1"/>
      <w:marLeft w:val="0"/>
      <w:marRight w:val="0"/>
      <w:marTop w:val="0"/>
      <w:marBottom w:val="0"/>
      <w:divBdr>
        <w:top w:val="none" w:sz="0" w:space="0" w:color="auto"/>
        <w:left w:val="none" w:sz="0" w:space="0" w:color="auto"/>
        <w:bottom w:val="none" w:sz="0" w:space="0" w:color="auto"/>
        <w:right w:val="none" w:sz="0" w:space="0" w:color="auto"/>
      </w:divBdr>
    </w:div>
    <w:div w:id="1063018710">
      <w:bodyDiv w:val="1"/>
      <w:marLeft w:val="0"/>
      <w:marRight w:val="0"/>
      <w:marTop w:val="0"/>
      <w:marBottom w:val="0"/>
      <w:divBdr>
        <w:top w:val="none" w:sz="0" w:space="0" w:color="auto"/>
        <w:left w:val="none" w:sz="0" w:space="0" w:color="auto"/>
        <w:bottom w:val="none" w:sz="0" w:space="0" w:color="auto"/>
        <w:right w:val="none" w:sz="0" w:space="0" w:color="auto"/>
      </w:divBdr>
    </w:div>
    <w:div w:id="1074742293">
      <w:bodyDiv w:val="1"/>
      <w:marLeft w:val="0"/>
      <w:marRight w:val="0"/>
      <w:marTop w:val="0"/>
      <w:marBottom w:val="0"/>
      <w:divBdr>
        <w:top w:val="none" w:sz="0" w:space="0" w:color="auto"/>
        <w:left w:val="none" w:sz="0" w:space="0" w:color="auto"/>
        <w:bottom w:val="none" w:sz="0" w:space="0" w:color="auto"/>
        <w:right w:val="none" w:sz="0" w:space="0" w:color="auto"/>
      </w:divBdr>
    </w:div>
    <w:div w:id="1088649447">
      <w:bodyDiv w:val="1"/>
      <w:marLeft w:val="0"/>
      <w:marRight w:val="0"/>
      <w:marTop w:val="0"/>
      <w:marBottom w:val="0"/>
      <w:divBdr>
        <w:top w:val="none" w:sz="0" w:space="0" w:color="auto"/>
        <w:left w:val="none" w:sz="0" w:space="0" w:color="auto"/>
        <w:bottom w:val="none" w:sz="0" w:space="0" w:color="auto"/>
        <w:right w:val="none" w:sz="0" w:space="0" w:color="auto"/>
      </w:divBdr>
    </w:div>
    <w:div w:id="1102186391">
      <w:bodyDiv w:val="1"/>
      <w:marLeft w:val="0"/>
      <w:marRight w:val="0"/>
      <w:marTop w:val="0"/>
      <w:marBottom w:val="0"/>
      <w:divBdr>
        <w:top w:val="none" w:sz="0" w:space="0" w:color="auto"/>
        <w:left w:val="none" w:sz="0" w:space="0" w:color="auto"/>
        <w:bottom w:val="none" w:sz="0" w:space="0" w:color="auto"/>
        <w:right w:val="none" w:sz="0" w:space="0" w:color="auto"/>
      </w:divBdr>
    </w:div>
    <w:div w:id="1105227474">
      <w:bodyDiv w:val="1"/>
      <w:marLeft w:val="0"/>
      <w:marRight w:val="0"/>
      <w:marTop w:val="0"/>
      <w:marBottom w:val="0"/>
      <w:divBdr>
        <w:top w:val="none" w:sz="0" w:space="0" w:color="auto"/>
        <w:left w:val="none" w:sz="0" w:space="0" w:color="auto"/>
        <w:bottom w:val="none" w:sz="0" w:space="0" w:color="auto"/>
        <w:right w:val="none" w:sz="0" w:space="0" w:color="auto"/>
      </w:divBdr>
    </w:div>
    <w:div w:id="1111781155">
      <w:bodyDiv w:val="1"/>
      <w:marLeft w:val="0"/>
      <w:marRight w:val="0"/>
      <w:marTop w:val="0"/>
      <w:marBottom w:val="0"/>
      <w:divBdr>
        <w:top w:val="none" w:sz="0" w:space="0" w:color="auto"/>
        <w:left w:val="none" w:sz="0" w:space="0" w:color="auto"/>
        <w:bottom w:val="none" w:sz="0" w:space="0" w:color="auto"/>
        <w:right w:val="none" w:sz="0" w:space="0" w:color="auto"/>
      </w:divBdr>
    </w:div>
    <w:div w:id="1130708297">
      <w:bodyDiv w:val="1"/>
      <w:marLeft w:val="0"/>
      <w:marRight w:val="0"/>
      <w:marTop w:val="0"/>
      <w:marBottom w:val="0"/>
      <w:divBdr>
        <w:top w:val="none" w:sz="0" w:space="0" w:color="auto"/>
        <w:left w:val="none" w:sz="0" w:space="0" w:color="auto"/>
        <w:bottom w:val="none" w:sz="0" w:space="0" w:color="auto"/>
        <w:right w:val="none" w:sz="0" w:space="0" w:color="auto"/>
      </w:divBdr>
    </w:div>
    <w:div w:id="1131703589">
      <w:bodyDiv w:val="1"/>
      <w:marLeft w:val="0"/>
      <w:marRight w:val="0"/>
      <w:marTop w:val="0"/>
      <w:marBottom w:val="0"/>
      <w:divBdr>
        <w:top w:val="none" w:sz="0" w:space="0" w:color="auto"/>
        <w:left w:val="none" w:sz="0" w:space="0" w:color="auto"/>
        <w:bottom w:val="none" w:sz="0" w:space="0" w:color="auto"/>
        <w:right w:val="none" w:sz="0" w:space="0" w:color="auto"/>
      </w:divBdr>
    </w:div>
    <w:div w:id="1140070196">
      <w:bodyDiv w:val="1"/>
      <w:marLeft w:val="0"/>
      <w:marRight w:val="0"/>
      <w:marTop w:val="0"/>
      <w:marBottom w:val="0"/>
      <w:divBdr>
        <w:top w:val="none" w:sz="0" w:space="0" w:color="auto"/>
        <w:left w:val="none" w:sz="0" w:space="0" w:color="auto"/>
        <w:bottom w:val="none" w:sz="0" w:space="0" w:color="auto"/>
        <w:right w:val="none" w:sz="0" w:space="0" w:color="auto"/>
      </w:divBdr>
    </w:div>
    <w:div w:id="1142699627">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67787720">
      <w:bodyDiv w:val="1"/>
      <w:marLeft w:val="0"/>
      <w:marRight w:val="0"/>
      <w:marTop w:val="0"/>
      <w:marBottom w:val="0"/>
      <w:divBdr>
        <w:top w:val="none" w:sz="0" w:space="0" w:color="auto"/>
        <w:left w:val="none" w:sz="0" w:space="0" w:color="auto"/>
        <w:bottom w:val="none" w:sz="0" w:space="0" w:color="auto"/>
        <w:right w:val="none" w:sz="0" w:space="0" w:color="auto"/>
      </w:divBdr>
    </w:div>
    <w:div w:id="1168597062">
      <w:bodyDiv w:val="1"/>
      <w:marLeft w:val="0"/>
      <w:marRight w:val="0"/>
      <w:marTop w:val="0"/>
      <w:marBottom w:val="0"/>
      <w:divBdr>
        <w:top w:val="none" w:sz="0" w:space="0" w:color="auto"/>
        <w:left w:val="none" w:sz="0" w:space="0" w:color="auto"/>
        <w:bottom w:val="none" w:sz="0" w:space="0" w:color="auto"/>
        <w:right w:val="none" w:sz="0" w:space="0" w:color="auto"/>
      </w:divBdr>
    </w:div>
    <w:div w:id="1171024634">
      <w:bodyDiv w:val="1"/>
      <w:marLeft w:val="0"/>
      <w:marRight w:val="0"/>
      <w:marTop w:val="0"/>
      <w:marBottom w:val="0"/>
      <w:divBdr>
        <w:top w:val="none" w:sz="0" w:space="0" w:color="auto"/>
        <w:left w:val="none" w:sz="0" w:space="0" w:color="auto"/>
        <w:bottom w:val="none" w:sz="0" w:space="0" w:color="auto"/>
        <w:right w:val="none" w:sz="0" w:space="0" w:color="auto"/>
      </w:divBdr>
      <w:divsChild>
        <w:div w:id="1371300015">
          <w:marLeft w:val="0"/>
          <w:marRight w:val="0"/>
          <w:marTop w:val="0"/>
          <w:marBottom w:val="0"/>
          <w:divBdr>
            <w:top w:val="none" w:sz="0" w:space="0" w:color="auto"/>
            <w:left w:val="none" w:sz="0" w:space="0" w:color="auto"/>
            <w:bottom w:val="none" w:sz="0" w:space="0" w:color="auto"/>
            <w:right w:val="none" w:sz="0" w:space="0" w:color="auto"/>
          </w:divBdr>
          <w:divsChild>
            <w:div w:id="33626559">
              <w:marLeft w:val="0"/>
              <w:marRight w:val="0"/>
              <w:marTop w:val="0"/>
              <w:marBottom w:val="0"/>
              <w:divBdr>
                <w:top w:val="none" w:sz="0" w:space="0" w:color="auto"/>
                <w:left w:val="none" w:sz="0" w:space="0" w:color="auto"/>
                <w:bottom w:val="none" w:sz="0" w:space="0" w:color="auto"/>
                <w:right w:val="none" w:sz="0" w:space="0" w:color="auto"/>
              </w:divBdr>
              <w:divsChild>
                <w:div w:id="19446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1860">
      <w:bodyDiv w:val="1"/>
      <w:marLeft w:val="0"/>
      <w:marRight w:val="0"/>
      <w:marTop w:val="0"/>
      <w:marBottom w:val="0"/>
      <w:divBdr>
        <w:top w:val="none" w:sz="0" w:space="0" w:color="auto"/>
        <w:left w:val="none" w:sz="0" w:space="0" w:color="auto"/>
        <w:bottom w:val="none" w:sz="0" w:space="0" w:color="auto"/>
        <w:right w:val="none" w:sz="0" w:space="0" w:color="auto"/>
      </w:divBdr>
    </w:div>
    <w:div w:id="1180856656">
      <w:bodyDiv w:val="1"/>
      <w:marLeft w:val="0"/>
      <w:marRight w:val="0"/>
      <w:marTop w:val="0"/>
      <w:marBottom w:val="0"/>
      <w:divBdr>
        <w:top w:val="none" w:sz="0" w:space="0" w:color="auto"/>
        <w:left w:val="none" w:sz="0" w:space="0" w:color="auto"/>
        <w:bottom w:val="none" w:sz="0" w:space="0" w:color="auto"/>
        <w:right w:val="none" w:sz="0" w:space="0" w:color="auto"/>
      </w:divBdr>
    </w:div>
    <w:div w:id="1180970296">
      <w:bodyDiv w:val="1"/>
      <w:marLeft w:val="0"/>
      <w:marRight w:val="0"/>
      <w:marTop w:val="0"/>
      <w:marBottom w:val="0"/>
      <w:divBdr>
        <w:top w:val="none" w:sz="0" w:space="0" w:color="auto"/>
        <w:left w:val="none" w:sz="0" w:space="0" w:color="auto"/>
        <w:bottom w:val="none" w:sz="0" w:space="0" w:color="auto"/>
        <w:right w:val="none" w:sz="0" w:space="0" w:color="auto"/>
      </w:divBdr>
    </w:div>
    <w:div w:id="1185560169">
      <w:bodyDiv w:val="1"/>
      <w:marLeft w:val="0"/>
      <w:marRight w:val="0"/>
      <w:marTop w:val="0"/>
      <w:marBottom w:val="0"/>
      <w:divBdr>
        <w:top w:val="none" w:sz="0" w:space="0" w:color="auto"/>
        <w:left w:val="none" w:sz="0" w:space="0" w:color="auto"/>
        <w:bottom w:val="none" w:sz="0" w:space="0" w:color="auto"/>
        <w:right w:val="none" w:sz="0" w:space="0" w:color="auto"/>
      </w:divBdr>
    </w:div>
    <w:div w:id="1198618510">
      <w:bodyDiv w:val="1"/>
      <w:marLeft w:val="0"/>
      <w:marRight w:val="0"/>
      <w:marTop w:val="0"/>
      <w:marBottom w:val="0"/>
      <w:divBdr>
        <w:top w:val="none" w:sz="0" w:space="0" w:color="auto"/>
        <w:left w:val="none" w:sz="0" w:space="0" w:color="auto"/>
        <w:bottom w:val="none" w:sz="0" w:space="0" w:color="auto"/>
        <w:right w:val="none" w:sz="0" w:space="0" w:color="auto"/>
      </w:divBdr>
    </w:div>
    <w:div w:id="1202207523">
      <w:bodyDiv w:val="1"/>
      <w:marLeft w:val="0"/>
      <w:marRight w:val="0"/>
      <w:marTop w:val="0"/>
      <w:marBottom w:val="0"/>
      <w:divBdr>
        <w:top w:val="none" w:sz="0" w:space="0" w:color="auto"/>
        <w:left w:val="none" w:sz="0" w:space="0" w:color="auto"/>
        <w:bottom w:val="none" w:sz="0" w:space="0" w:color="auto"/>
        <w:right w:val="none" w:sz="0" w:space="0" w:color="auto"/>
      </w:divBdr>
    </w:div>
    <w:div w:id="1220553935">
      <w:bodyDiv w:val="1"/>
      <w:marLeft w:val="0"/>
      <w:marRight w:val="0"/>
      <w:marTop w:val="0"/>
      <w:marBottom w:val="0"/>
      <w:divBdr>
        <w:top w:val="none" w:sz="0" w:space="0" w:color="auto"/>
        <w:left w:val="none" w:sz="0" w:space="0" w:color="auto"/>
        <w:bottom w:val="none" w:sz="0" w:space="0" w:color="auto"/>
        <w:right w:val="none" w:sz="0" w:space="0" w:color="auto"/>
      </w:divBdr>
      <w:divsChild>
        <w:div w:id="784542645">
          <w:marLeft w:val="0"/>
          <w:marRight w:val="0"/>
          <w:marTop w:val="0"/>
          <w:marBottom w:val="0"/>
          <w:divBdr>
            <w:top w:val="none" w:sz="0" w:space="0" w:color="auto"/>
            <w:left w:val="none" w:sz="0" w:space="0" w:color="auto"/>
            <w:bottom w:val="none" w:sz="0" w:space="0" w:color="auto"/>
            <w:right w:val="none" w:sz="0" w:space="0" w:color="auto"/>
          </w:divBdr>
          <w:divsChild>
            <w:div w:id="1857453566">
              <w:marLeft w:val="0"/>
              <w:marRight w:val="0"/>
              <w:marTop w:val="0"/>
              <w:marBottom w:val="0"/>
              <w:divBdr>
                <w:top w:val="none" w:sz="0" w:space="0" w:color="auto"/>
                <w:left w:val="none" w:sz="0" w:space="0" w:color="auto"/>
                <w:bottom w:val="none" w:sz="0" w:space="0" w:color="auto"/>
                <w:right w:val="none" w:sz="0" w:space="0" w:color="auto"/>
              </w:divBdr>
              <w:divsChild>
                <w:div w:id="20358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0374">
      <w:bodyDiv w:val="1"/>
      <w:marLeft w:val="0"/>
      <w:marRight w:val="0"/>
      <w:marTop w:val="0"/>
      <w:marBottom w:val="0"/>
      <w:divBdr>
        <w:top w:val="none" w:sz="0" w:space="0" w:color="auto"/>
        <w:left w:val="none" w:sz="0" w:space="0" w:color="auto"/>
        <w:bottom w:val="none" w:sz="0" w:space="0" w:color="auto"/>
        <w:right w:val="none" w:sz="0" w:space="0" w:color="auto"/>
      </w:divBdr>
    </w:div>
    <w:div w:id="1228691950">
      <w:bodyDiv w:val="1"/>
      <w:marLeft w:val="0"/>
      <w:marRight w:val="0"/>
      <w:marTop w:val="0"/>
      <w:marBottom w:val="0"/>
      <w:divBdr>
        <w:top w:val="none" w:sz="0" w:space="0" w:color="auto"/>
        <w:left w:val="none" w:sz="0" w:space="0" w:color="auto"/>
        <w:bottom w:val="none" w:sz="0" w:space="0" w:color="auto"/>
        <w:right w:val="none" w:sz="0" w:space="0" w:color="auto"/>
      </w:divBdr>
    </w:div>
    <w:div w:id="1230531360">
      <w:bodyDiv w:val="1"/>
      <w:marLeft w:val="0"/>
      <w:marRight w:val="0"/>
      <w:marTop w:val="0"/>
      <w:marBottom w:val="0"/>
      <w:divBdr>
        <w:top w:val="none" w:sz="0" w:space="0" w:color="auto"/>
        <w:left w:val="none" w:sz="0" w:space="0" w:color="auto"/>
        <w:bottom w:val="none" w:sz="0" w:space="0" w:color="auto"/>
        <w:right w:val="none" w:sz="0" w:space="0" w:color="auto"/>
      </w:divBdr>
    </w:div>
    <w:div w:id="1238394137">
      <w:bodyDiv w:val="1"/>
      <w:marLeft w:val="0"/>
      <w:marRight w:val="0"/>
      <w:marTop w:val="0"/>
      <w:marBottom w:val="0"/>
      <w:divBdr>
        <w:top w:val="none" w:sz="0" w:space="0" w:color="auto"/>
        <w:left w:val="none" w:sz="0" w:space="0" w:color="auto"/>
        <w:bottom w:val="none" w:sz="0" w:space="0" w:color="auto"/>
        <w:right w:val="none" w:sz="0" w:space="0" w:color="auto"/>
      </w:divBdr>
    </w:div>
    <w:div w:id="1244989429">
      <w:bodyDiv w:val="1"/>
      <w:marLeft w:val="0"/>
      <w:marRight w:val="0"/>
      <w:marTop w:val="0"/>
      <w:marBottom w:val="0"/>
      <w:divBdr>
        <w:top w:val="none" w:sz="0" w:space="0" w:color="auto"/>
        <w:left w:val="none" w:sz="0" w:space="0" w:color="auto"/>
        <w:bottom w:val="none" w:sz="0" w:space="0" w:color="auto"/>
        <w:right w:val="none" w:sz="0" w:space="0" w:color="auto"/>
      </w:divBdr>
    </w:div>
    <w:div w:id="1246379206">
      <w:bodyDiv w:val="1"/>
      <w:marLeft w:val="0"/>
      <w:marRight w:val="0"/>
      <w:marTop w:val="0"/>
      <w:marBottom w:val="0"/>
      <w:divBdr>
        <w:top w:val="none" w:sz="0" w:space="0" w:color="auto"/>
        <w:left w:val="none" w:sz="0" w:space="0" w:color="auto"/>
        <w:bottom w:val="none" w:sz="0" w:space="0" w:color="auto"/>
        <w:right w:val="none" w:sz="0" w:space="0" w:color="auto"/>
      </w:divBdr>
    </w:div>
    <w:div w:id="1248421577">
      <w:bodyDiv w:val="1"/>
      <w:marLeft w:val="0"/>
      <w:marRight w:val="0"/>
      <w:marTop w:val="0"/>
      <w:marBottom w:val="0"/>
      <w:divBdr>
        <w:top w:val="none" w:sz="0" w:space="0" w:color="auto"/>
        <w:left w:val="none" w:sz="0" w:space="0" w:color="auto"/>
        <w:bottom w:val="none" w:sz="0" w:space="0" w:color="auto"/>
        <w:right w:val="none" w:sz="0" w:space="0" w:color="auto"/>
      </w:divBdr>
      <w:divsChild>
        <w:div w:id="1301886635">
          <w:marLeft w:val="0"/>
          <w:marRight w:val="0"/>
          <w:marTop w:val="0"/>
          <w:marBottom w:val="0"/>
          <w:divBdr>
            <w:top w:val="none" w:sz="0" w:space="0" w:color="auto"/>
            <w:left w:val="none" w:sz="0" w:space="0" w:color="auto"/>
            <w:bottom w:val="none" w:sz="0" w:space="0" w:color="auto"/>
            <w:right w:val="none" w:sz="0" w:space="0" w:color="auto"/>
          </w:divBdr>
          <w:divsChild>
            <w:div w:id="1280457227">
              <w:marLeft w:val="0"/>
              <w:marRight w:val="0"/>
              <w:marTop w:val="100"/>
              <w:marBottom w:val="100"/>
              <w:divBdr>
                <w:top w:val="none" w:sz="0" w:space="0" w:color="auto"/>
                <w:left w:val="none" w:sz="0" w:space="0" w:color="auto"/>
                <w:bottom w:val="none" w:sz="0" w:space="0" w:color="auto"/>
                <w:right w:val="none" w:sz="0" w:space="0" w:color="auto"/>
              </w:divBdr>
              <w:divsChild>
                <w:div w:id="821392034">
                  <w:marLeft w:val="0"/>
                  <w:marRight w:val="0"/>
                  <w:marTop w:val="0"/>
                  <w:marBottom w:val="0"/>
                  <w:divBdr>
                    <w:top w:val="none" w:sz="0" w:space="0" w:color="auto"/>
                    <w:left w:val="none" w:sz="0" w:space="0" w:color="auto"/>
                    <w:bottom w:val="none" w:sz="0" w:space="0" w:color="auto"/>
                    <w:right w:val="none" w:sz="0" w:space="0" w:color="auto"/>
                  </w:divBdr>
                  <w:divsChild>
                    <w:div w:id="541937724">
                      <w:marLeft w:val="0"/>
                      <w:marRight w:val="0"/>
                      <w:marTop w:val="225"/>
                      <w:marBottom w:val="0"/>
                      <w:divBdr>
                        <w:top w:val="none" w:sz="0" w:space="0" w:color="auto"/>
                        <w:left w:val="none" w:sz="0" w:space="0" w:color="auto"/>
                        <w:bottom w:val="none" w:sz="0" w:space="0" w:color="auto"/>
                        <w:right w:val="none" w:sz="0" w:space="0" w:color="auto"/>
                      </w:divBdr>
                      <w:divsChild>
                        <w:div w:id="1099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21554">
      <w:bodyDiv w:val="1"/>
      <w:marLeft w:val="0"/>
      <w:marRight w:val="0"/>
      <w:marTop w:val="0"/>
      <w:marBottom w:val="0"/>
      <w:divBdr>
        <w:top w:val="none" w:sz="0" w:space="0" w:color="auto"/>
        <w:left w:val="none" w:sz="0" w:space="0" w:color="auto"/>
        <w:bottom w:val="none" w:sz="0" w:space="0" w:color="auto"/>
        <w:right w:val="none" w:sz="0" w:space="0" w:color="auto"/>
      </w:divBdr>
    </w:div>
    <w:div w:id="1268926405">
      <w:bodyDiv w:val="1"/>
      <w:marLeft w:val="0"/>
      <w:marRight w:val="0"/>
      <w:marTop w:val="0"/>
      <w:marBottom w:val="0"/>
      <w:divBdr>
        <w:top w:val="none" w:sz="0" w:space="0" w:color="auto"/>
        <w:left w:val="none" w:sz="0" w:space="0" w:color="auto"/>
        <w:bottom w:val="none" w:sz="0" w:space="0" w:color="auto"/>
        <w:right w:val="none" w:sz="0" w:space="0" w:color="auto"/>
      </w:divBdr>
      <w:divsChild>
        <w:div w:id="1698895018">
          <w:marLeft w:val="0"/>
          <w:marRight w:val="0"/>
          <w:marTop w:val="0"/>
          <w:marBottom w:val="0"/>
          <w:divBdr>
            <w:top w:val="none" w:sz="0" w:space="0" w:color="auto"/>
            <w:left w:val="none" w:sz="0" w:space="0" w:color="auto"/>
            <w:bottom w:val="none" w:sz="0" w:space="0" w:color="auto"/>
            <w:right w:val="none" w:sz="0" w:space="0" w:color="auto"/>
          </w:divBdr>
          <w:divsChild>
            <w:div w:id="1477914079">
              <w:marLeft w:val="0"/>
              <w:marRight w:val="0"/>
              <w:marTop w:val="0"/>
              <w:marBottom w:val="0"/>
              <w:divBdr>
                <w:top w:val="none" w:sz="0" w:space="0" w:color="auto"/>
                <w:left w:val="none" w:sz="0" w:space="0" w:color="auto"/>
                <w:bottom w:val="none" w:sz="0" w:space="0" w:color="auto"/>
                <w:right w:val="none" w:sz="0" w:space="0" w:color="auto"/>
              </w:divBdr>
              <w:divsChild>
                <w:div w:id="42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8721">
      <w:bodyDiv w:val="1"/>
      <w:marLeft w:val="0"/>
      <w:marRight w:val="0"/>
      <w:marTop w:val="0"/>
      <w:marBottom w:val="0"/>
      <w:divBdr>
        <w:top w:val="none" w:sz="0" w:space="0" w:color="auto"/>
        <w:left w:val="none" w:sz="0" w:space="0" w:color="auto"/>
        <w:bottom w:val="none" w:sz="0" w:space="0" w:color="auto"/>
        <w:right w:val="none" w:sz="0" w:space="0" w:color="auto"/>
      </w:divBdr>
    </w:div>
    <w:div w:id="12789506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62">
          <w:marLeft w:val="0"/>
          <w:marRight w:val="0"/>
          <w:marTop w:val="0"/>
          <w:marBottom w:val="0"/>
          <w:divBdr>
            <w:top w:val="none" w:sz="0" w:space="0" w:color="auto"/>
            <w:left w:val="none" w:sz="0" w:space="0" w:color="auto"/>
            <w:bottom w:val="none" w:sz="0" w:space="0" w:color="auto"/>
            <w:right w:val="none" w:sz="0" w:space="0" w:color="auto"/>
          </w:divBdr>
          <w:divsChild>
            <w:div w:id="578904752">
              <w:marLeft w:val="0"/>
              <w:marRight w:val="0"/>
              <w:marTop w:val="0"/>
              <w:marBottom w:val="0"/>
              <w:divBdr>
                <w:top w:val="none" w:sz="0" w:space="0" w:color="auto"/>
                <w:left w:val="none" w:sz="0" w:space="0" w:color="auto"/>
                <w:bottom w:val="none" w:sz="0" w:space="0" w:color="auto"/>
                <w:right w:val="none" w:sz="0" w:space="0" w:color="auto"/>
              </w:divBdr>
              <w:divsChild>
                <w:div w:id="11463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1425">
      <w:bodyDiv w:val="1"/>
      <w:marLeft w:val="0"/>
      <w:marRight w:val="0"/>
      <w:marTop w:val="0"/>
      <w:marBottom w:val="0"/>
      <w:divBdr>
        <w:top w:val="none" w:sz="0" w:space="0" w:color="auto"/>
        <w:left w:val="none" w:sz="0" w:space="0" w:color="auto"/>
        <w:bottom w:val="none" w:sz="0" w:space="0" w:color="auto"/>
        <w:right w:val="none" w:sz="0" w:space="0" w:color="auto"/>
      </w:divBdr>
    </w:div>
    <w:div w:id="1295209104">
      <w:bodyDiv w:val="1"/>
      <w:marLeft w:val="0"/>
      <w:marRight w:val="0"/>
      <w:marTop w:val="0"/>
      <w:marBottom w:val="0"/>
      <w:divBdr>
        <w:top w:val="none" w:sz="0" w:space="0" w:color="auto"/>
        <w:left w:val="none" w:sz="0" w:space="0" w:color="auto"/>
        <w:bottom w:val="none" w:sz="0" w:space="0" w:color="auto"/>
        <w:right w:val="none" w:sz="0" w:space="0" w:color="auto"/>
      </w:divBdr>
    </w:div>
    <w:div w:id="1297561550">
      <w:bodyDiv w:val="1"/>
      <w:marLeft w:val="0"/>
      <w:marRight w:val="0"/>
      <w:marTop w:val="0"/>
      <w:marBottom w:val="0"/>
      <w:divBdr>
        <w:top w:val="none" w:sz="0" w:space="0" w:color="auto"/>
        <w:left w:val="none" w:sz="0" w:space="0" w:color="auto"/>
        <w:bottom w:val="none" w:sz="0" w:space="0" w:color="auto"/>
        <w:right w:val="none" w:sz="0" w:space="0" w:color="auto"/>
      </w:divBdr>
    </w:div>
    <w:div w:id="1305619284">
      <w:bodyDiv w:val="1"/>
      <w:marLeft w:val="0"/>
      <w:marRight w:val="0"/>
      <w:marTop w:val="0"/>
      <w:marBottom w:val="0"/>
      <w:divBdr>
        <w:top w:val="none" w:sz="0" w:space="0" w:color="auto"/>
        <w:left w:val="none" w:sz="0" w:space="0" w:color="auto"/>
        <w:bottom w:val="none" w:sz="0" w:space="0" w:color="auto"/>
        <w:right w:val="none" w:sz="0" w:space="0" w:color="auto"/>
      </w:divBdr>
    </w:div>
    <w:div w:id="1314875569">
      <w:bodyDiv w:val="1"/>
      <w:marLeft w:val="0"/>
      <w:marRight w:val="0"/>
      <w:marTop w:val="0"/>
      <w:marBottom w:val="0"/>
      <w:divBdr>
        <w:top w:val="none" w:sz="0" w:space="0" w:color="auto"/>
        <w:left w:val="none" w:sz="0" w:space="0" w:color="auto"/>
        <w:bottom w:val="none" w:sz="0" w:space="0" w:color="auto"/>
        <w:right w:val="none" w:sz="0" w:space="0" w:color="auto"/>
      </w:divBdr>
    </w:div>
    <w:div w:id="1322470185">
      <w:bodyDiv w:val="1"/>
      <w:marLeft w:val="0"/>
      <w:marRight w:val="0"/>
      <w:marTop w:val="0"/>
      <w:marBottom w:val="0"/>
      <w:divBdr>
        <w:top w:val="none" w:sz="0" w:space="0" w:color="auto"/>
        <w:left w:val="none" w:sz="0" w:space="0" w:color="auto"/>
        <w:bottom w:val="none" w:sz="0" w:space="0" w:color="auto"/>
        <w:right w:val="none" w:sz="0" w:space="0" w:color="auto"/>
      </w:divBdr>
    </w:div>
    <w:div w:id="1339307494">
      <w:bodyDiv w:val="1"/>
      <w:marLeft w:val="0"/>
      <w:marRight w:val="0"/>
      <w:marTop w:val="0"/>
      <w:marBottom w:val="0"/>
      <w:divBdr>
        <w:top w:val="none" w:sz="0" w:space="0" w:color="auto"/>
        <w:left w:val="none" w:sz="0" w:space="0" w:color="auto"/>
        <w:bottom w:val="none" w:sz="0" w:space="0" w:color="auto"/>
        <w:right w:val="none" w:sz="0" w:space="0" w:color="auto"/>
      </w:divBdr>
    </w:div>
    <w:div w:id="1363359462">
      <w:bodyDiv w:val="1"/>
      <w:marLeft w:val="0"/>
      <w:marRight w:val="0"/>
      <w:marTop w:val="0"/>
      <w:marBottom w:val="0"/>
      <w:divBdr>
        <w:top w:val="none" w:sz="0" w:space="0" w:color="auto"/>
        <w:left w:val="none" w:sz="0" w:space="0" w:color="auto"/>
        <w:bottom w:val="none" w:sz="0" w:space="0" w:color="auto"/>
        <w:right w:val="none" w:sz="0" w:space="0" w:color="auto"/>
      </w:divBdr>
    </w:div>
    <w:div w:id="1366053116">
      <w:bodyDiv w:val="1"/>
      <w:marLeft w:val="0"/>
      <w:marRight w:val="0"/>
      <w:marTop w:val="0"/>
      <w:marBottom w:val="0"/>
      <w:divBdr>
        <w:top w:val="none" w:sz="0" w:space="0" w:color="auto"/>
        <w:left w:val="none" w:sz="0" w:space="0" w:color="auto"/>
        <w:bottom w:val="none" w:sz="0" w:space="0" w:color="auto"/>
        <w:right w:val="none" w:sz="0" w:space="0" w:color="auto"/>
      </w:divBdr>
    </w:div>
    <w:div w:id="1373264430">
      <w:bodyDiv w:val="1"/>
      <w:marLeft w:val="0"/>
      <w:marRight w:val="0"/>
      <w:marTop w:val="0"/>
      <w:marBottom w:val="0"/>
      <w:divBdr>
        <w:top w:val="none" w:sz="0" w:space="0" w:color="auto"/>
        <w:left w:val="none" w:sz="0" w:space="0" w:color="auto"/>
        <w:bottom w:val="none" w:sz="0" w:space="0" w:color="auto"/>
        <w:right w:val="none" w:sz="0" w:space="0" w:color="auto"/>
      </w:divBdr>
    </w:div>
    <w:div w:id="1389767335">
      <w:bodyDiv w:val="1"/>
      <w:marLeft w:val="0"/>
      <w:marRight w:val="0"/>
      <w:marTop w:val="0"/>
      <w:marBottom w:val="0"/>
      <w:divBdr>
        <w:top w:val="none" w:sz="0" w:space="0" w:color="auto"/>
        <w:left w:val="none" w:sz="0" w:space="0" w:color="auto"/>
        <w:bottom w:val="none" w:sz="0" w:space="0" w:color="auto"/>
        <w:right w:val="none" w:sz="0" w:space="0" w:color="auto"/>
      </w:divBdr>
      <w:divsChild>
        <w:div w:id="1333532102">
          <w:marLeft w:val="0"/>
          <w:marRight w:val="0"/>
          <w:marTop w:val="0"/>
          <w:marBottom w:val="0"/>
          <w:divBdr>
            <w:top w:val="none" w:sz="0" w:space="0" w:color="auto"/>
            <w:left w:val="none" w:sz="0" w:space="0" w:color="auto"/>
            <w:bottom w:val="none" w:sz="0" w:space="0" w:color="auto"/>
            <w:right w:val="none" w:sz="0" w:space="0" w:color="auto"/>
          </w:divBdr>
          <w:divsChild>
            <w:div w:id="236015577">
              <w:marLeft w:val="0"/>
              <w:marRight w:val="0"/>
              <w:marTop w:val="100"/>
              <w:marBottom w:val="100"/>
              <w:divBdr>
                <w:top w:val="none" w:sz="0" w:space="0" w:color="auto"/>
                <w:left w:val="none" w:sz="0" w:space="0" w:color="auto"/>
                <w:bottom w:val="none" w:sz="0" w:space="0" w:color="auto"/>
                <w:right w:val="none" w:sz="0" w:space="0" w:color="auto"/>
              </w:divBdr>
              <w:divsChild>
                <w:div w:id="527257989">
                  <w:marLeft w:val="0"/>
                  <w:marRight w:val="0"/>
                  <w:marTop w:val="0"/>
                  <w:marBottom w:val="0"/>
                  <w:divBdr>
                    <w:top w:val="none" w:sz="0" w:space="0" w:color="auto"/>
                    <w:left w:val="none" w:sz="0" w:space="0" w:color="auto"/>
                    <w:bottom w:val="none" w:sz="0" w:space="0" w:color="auto"/>
                    <w:right w:val="none" w:sz="0" w:space="0" w:color="auto"/>
                  </w:divBdr>
                  <w:divsChild>
                    <w:div w:id="1283416428">
                      <w:marLeft w:val="0"/>
                      <w:marRight w:val="0"/>
                      <w:marTop w:val="225"/>
                      <w:marBottom w:val="0"/>
                      <w:divBdr>
                        <w:top w:val="none" w:sz="0" w:space="0" w:color="auto"/>
                        <w:left w:val="none" w:sz="0" w:space="0" w:color="auto"/>
                        <w:bottom w:val="none" w:sz="0" w:space="0" w:color="auto"/>
                        <w:right w:val="none" w:sz="0" w:space="0" w:color="auto"/>
                      </w:divBdr>
                      <w:divsChild>
                        <w:div w:id="1246259059">
                          <w:marLeft w:val="0"/>
                          <w:marRight w:val="0"/>
                          <w:marTop w:val="0"/>
                          <w:marBottom w:val="0"/>
                          <w:divBdr>
                            <w:top w:val="none" w:sz="0" w:space="0" w:color="auto"/>
                            <w:left w:val="none" w:sz="0" w:space="0" w:color="auto"/>
                            <w:bottom w:val="none" w:sz="0" w:space="0" w:color="auto"/>
                            <w:right w:val="none" w:sz="0" w:space="0" w:color="auto"/>
                          </w:divBdr>
                          <w:divsChild>
                            <w:div w:id="2130973305">
                              <w:marLeft w:val="0"/>
                              <w:marRight w:val="0"/>
                              <w:marTop w:val="0"/>
                              <w:marBottom w:val="0"/>
                              <w:divBdr>
                                <w:top w:val="none" w:sz="0" w:space="0" w:color="auto"/>
                                <w:left w:val="none" w:sz="0" w:space="0" w:color="auto"/>
                                <w:bottom w:val="none" w:sz="0" w:space="0" w:color="auto"/>
                                <w:right w:val="none" w:sz="0" w:space="0" w:color="auto"/>
                              </w:divBdr>
                              <w:divsChild>
                                <w:div w:id="637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53844">
      <w:bodyDiv w:val="1"/>
      <w:marLeft w:val="0"/>
      <w:marRight w:val="0"/>
      <w:marTop w:val="0"/>
      <w:marBottom w:val="0"/>
      <w:divBdr>
        <w:top w:val="none" w:sz="0" w:space="0" w:color="auto"/>
        <w:left w:val="none" w:sz="0" w:space="0" w:color="auto"/>
        <w:bottom w:val="none" w:sz="0" w:space="0" w:color="auto"/>
        <w:right w:val="none" w:sz="0" w:space="0" w:color="auto"/>
      </w:divBdr>
    </w:div>
    <w:div w:id="1402605486">
      <w:bodyDiv w:val="1"/>
      <w:marLeft w:val="0"/>
      <w:marRight w:val="0"/>
      <w:marTop w:val="0"/>
      <w:marBottom w:val="0"/>
      <w:divBdr>
        <w:top w:val="none" w:sz="0" w:space="0" w:color="auto"/>
        <w:left w:val="none" w:sz="0" w:space="0" w:color="auto"/>
        <w:bottom w:val="none" w:sz="0" w:space="0" w:color="auto"/>
        <w:right w:val="none" w:sz="0" w:space="0" w:color="auto"/>
      </w:divBdr>
      <w:divsChild>
        <w:div w:id="548033744">
          <w:marLeft w:val="0"/>
          <w:marRight w:val="0"/>
          <w:marTop w:val="0"/>
          <w:marBottom w:val="0"/>
          <w:divBdr>
            <w:top w:val="none" w:sz="0" w:space="0" w:color="auto"/>
            <w:left w:val="none" w:sz="0" w:space="0" w:color="auto"/>
            <w:bottom w:val="none" w:sz="0" w:space="0" w:color="auto"/>
            <w:right w:val="none" w:sz="0" w:space="0" w:color="auto"/>
          </w:divBdr>
          <w:divsChild>
            <w:div w:id="1299843330">
              <w:marLeft w:val="0"/>
              <w:marRight w:val="0"/>
              <w:marTop w:val="0"/>
              <w:marBottom w:val="0"/>
              <w:divBdr>
                <w:top w:val="none" w:sz="0" w:space="0" w:color="auto"/>
                <w:left w:val="none" w:sz="0" w:space="0" w:color="auto"/>
                <w:bottom w:val="none" w:sz="0" w:space="0" w:color="auto"/>
                <w:right w:val="none" w:sz="0" w:space="0" w:color="auto"/>
              </w:divBdr>
              <w:divsChild>
                <w:div w:id="2112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5286">
      <w:bodyDiv w:val="1"/>
      <w:marLeft w:val="0"/>
      <w:marRight w:val="0"/>
      <w:marTop w:val="0"/>
      <w:marBottom w:val="0"/>
      <w:divBdr>
        <w:top w:val="none" w:sz="0" w:space="0" w:color="auto"/>
        <w:left w:val="none" w:sz="0" w:space="0" w:color="auto"/>
        <w:bottom w:val="none" w:sz="0" w:space="0" w:color="auto"/>
        <w:right w:val="none" w:sz="0" w:space="0" w:color="auto"/>
      </w:divBdr>
    </w:div>
    <w:div w:id="1413359670">
      <w:bodyDiv w:val="1"/>
      <w:marLeft w:val="0"/>
      <w:marRight w:val="0"/>
      <w:marTop w:val="0"/>
      <w:marBottom w:val="0"/>
      <w:divBdr>
        <w:top w:val="none" w:sz="0" w:space="0" w:color="auto"/>
        <w:left w:val="none" w:sz="0" w:space="0" w:color="auto"/>
        <w:bottom w:val="none" w:sz="0" w:space="0" w:color="auto"/>
        <w:right w:val="none" w:sz="0" w:space="0" w:color="auto"/>
      </w:divBdr>
    </w:div>
    <w:div w:id="1416199564">
      <w:bodyDiv w:val="1"/>
      <w:marLeft w:val="0"/>
      <w:marRight w:val="0"/>
      <w:marTop w:val="0"/>
      <w:marBottom w:val="0"/>
      <w:divBdr>
        <w:top w:val="none" w:sz="0" w:space="0" w:color="auto"/>
        <w:left w:val="none" w:sz="0" w:space="0" w:color="auto"/>
        <w:bottom w:val="none" w:sz="0" w:space="0" w:color="auto"/>
        <w:right w:val="none" w:sz="0" w:space="0" w:color="auto"/>
      </w:divBdr>
    </w:div>
    <w:div w:id="1419015362">
      <w:bodyDiv w:val="1"/>
      <w:marLeft w:val="0"/>
      <w:marRight w:val="0"/>
      <w:marTop w:val="0"/>
      <w:marBottom w:val="0"/>
      <w:divBdr>
        <w:top w:val="none" w:sz="0" w:space="0" w:color="auto"/>
        <w:left w:val="none" w:sz="0" w:space="0" w:color="auto"/>
        <w:bottom w:val="none" w:sz="0" w:space="0" w:color="auto"/>
        <w:right w:val="none" w:sz="0" w:space="0" w:color="auto"/>
      </w:divBdr>
    </w:div>
    <w:div w:id="1421874416">
      <w:bodyDiv w:val="1"/>
      <w:marLeft w:val="0"/>
      <w:marRight w:val="0"/>
      <w:marTop w:val="0"/>
      <w:marBottom w:val="0"/>
      <w:divBdr>
        <w:top w:val="none" w:sz="0" w:space="0" w:color="auto"/>
        <w:left w:val="none" w:sz="0" w:space="0" w:color="auto"/>
        <w:bottom w:val="none" w:sz="0" w:space="0" w:color="auto"/>
        <w:right w:val="none" w:sz="0" w:space="0" w:color="auto"/>
      </w:divBdr>
    </w:div>
    <w:div w:id="1426806181">
      <w:bodyDiv w:val="1"/>
      <w:marLeft w:val="0"/>
      <w:marRight w:val="0"/>
      <w:marTop w:val="0"/>
      <w:marBottom w:val="0"/>
      <w:divBdr>
        <w:top w:val="none" w:sz="0" w:space="0" w:color="auto"/>
        <w:left w:val="none" w:sz="0" w:space="0" w:color="auto"/>
        <w:bottom w:val="none" w:sz="0" w:space="0" w:color="auto"/>
        <w:right w:val="none" w:sz="0" w:space="0" w:color="auto"/>
      </w:divBdr>
    </w:div>
    <w:div w:id="1469129671">
      <w:bodyDiv w:val="1"/>
      <w:marLeft w:val="0"/>
      <w:marRight w:val="0"/>
      <w:marTop w:val="0"/>
      <w:marBottom w:val="0"/>
      <w:divBdr>
        <w:top w:val="none" w:sz="0" w:space="0" w:color="auto"/>
        <w:left w:val="none" w:sz="0" w:space="0" w:color="auto"/>
        <w:bottom w:val="none" w:sz="0" w:space="0" w:color="auto"/>
        <w:right w:val="none" w:sz="0" w:space="0" w:color="auto"/>
      </w:divBdr>
      <w:divsChild>
        <w:div w:id="1984657228">
          <w:marLeft w:val="0"/>
          <w:marRight w:val="0"/>
          <w:marTop w:val="0"/>
          <w:marBottom w:val="0"/>
          <w:divBdr>
            <w:top w:val="none" w:sz="0" w:space="0" w:color="auto"/>
            <w:left w:val="none" w:sz="0" w:space="0" w:color="auto"/>
            <w:bottom w:val="none" w:sz="0" w:space="0" w:color="auto"/>
            <w:right w:val="none" w:sz="0" w:space="0" w:color="auto"/>
          </w:divBdr>
          <w:divsChild>
            <w:div w:id="1881815300">
              <w:marLeft w:val="0"/>
              <w:marRight w:val="0"/>
              <w:marTop w:val="0"/>
              <w:marBottom w:val="0"/>
              <w:divBdr>
                <w:top w:val="none" w:sz="0" w:space="0" w:color="auto"/>
                <w:left w:val="none" w:sz="0" w:space="0" w:color="auto"/>
                <w:bottom w:val="none" w:sz="0" w:space="0" w:color="auto"/>
                <w:right w:val="none" w:sz="0" w:space="0" w:color="auto"/>
              </w:divBdr>
              <w:divsChild>
                <w:div w:id="1797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56602">
      <w:bodyDiv w:val="1"/>
      <w:marLeft w:val="0"/>
      <w:marRight w:val="0"/>
      <w:marTop w:val="0"/>
      <w:marBottom w:val="0"/>
      <w:divBdr>
        <w:top w:val="none" w:sz="0" w:space="0" w:color="auto"/>
        <w:left w:val="none" w:sz="0" w:space="0" w:color="auto"/>
        <w:bottom w:val="none" w:sz="0" w:space="0" w:color="auto"/>
        <w:right w:val="none" w:sz="0" w:space="0" w:color="auto"/>
      </w:divBdr>
    </w:div>
    <w:div w:id="1497500736">
      <w:bodyDiv w:val="1"/>
      <w:marLeft w:val="0"/>
      <w:marRight w:val="0"/>
      <w:marTop w:val="0"/>
      <w:marBottom w:val="0"/>
      <w:divBdr>
        <w:top w:val="none" w:sz="0" w:space="0" w:color="auto"/>
        <w:left w:val="none" w:sz="0" w:space="0" w:color="auto"/>
        <w:bottom w:val="none" w:sz="0" w:space="0" w:color="auto"/>
        <w:right w:val="none" w:sz="0" w:space="0" w:color="auto"/>
      </w:divBdr>
      <w:divsChild>
        <w:div w:id="997801874">
          <w:marLeft w:val="0"/>
          <w:marRight w:val="0"/>
          <w:marTop w:val="0"/>
          <w:marBottom w:val="0"/>
          <w:divBdr>
            <w:top w:val="none" w:sz="0" w:space="0" w:color="auto"/>
            <w:left w:val="none" w:sz="0" w:space="0" w:color="auto"/>
            <w:bottom w:val="none" w:sz="0" w:space="0" w:color="auto"/>
            <w:right w:val="none" w:sz="0" w:space="0" w:color="auto"/>
          </w:divBdr>
          <w:divsChild>
            <w:div w:id="1071124079">
              <w:marLeft w:val="0"/>
              <w:marRight w:val="0"/>
              <w:marTop w:val="0"/>
              <w:marBottom w:val="0"/>
              <w:divBdr>
                <w:top w:val="none" w:sz="0" w:space="0" w:color="auto"/>
                <w:left w:val="none" w:sz="0" w:space="0" w:color="auto"/>
                <w:bottom w:val="none" w:sz="0" w:space="0" w:color="auto"/>
                <w:right w:val="none" w:sz="0" w:space="0" w:color="auto"/>
              </w:divBdr>
              <w:divsChild>
                <w:div w:id="1165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77">
      <w:bodyDiv w:val="1"/>
      <w:marLeft w:val="0"/>
      <w:marRight w:val="0"/>
      <w:marTop w:val="0"/>
      <w:marBottom w:val="0"/>
      <w:divBdr>
        <w:top w:val="none" w:sz="0" w:space="0" w:color="auto"/>
        <w:left w:val="none" w:sz="0" w:space="0" w:color="auto"/>
        <w:bottom w:val="none" w:sz="0" w:space="0" w:color="auto"/>
        <w:right w:val="none" w:sz="0" w:space="0" w:color="auto"/>
      </w:divBdr>
    </w:div>
    <w:div w:id="1504588981">
      <w:bodyDiv w:val="1"/>
      <w:marLeft w:val="0"/>
      <w:marRight w:val="0"/>
      <w:marTop w:val="0"/>
      <w:marBottom w:val="0"/>
      <w:divBdr>
        <w:top w:val="none" w:sz="0" w:space="0" w:color="auto"/>
        <w:left w:val="none" w:sz="0" w:space="0" w:color="auto"/>
        <w:bottom w:val="none" w:sz="0" w:space="0" w:color="auto"/>
        <w:right w:val="none" w:sz="0" w:space="0" w:color="auto"/>
      </w:divBdr>
    </w:div>
    <w:div w:id="1513378386">
      <w:bodyDiv w:val="1"/>
      <w:marLeft w:val="0"/>
      <w:marRight w:val="0"/>
      <w:marTop w:val="0"/>
      <w:marBottom w:val="0"/>
      <w:divBdr>
        <w:top w:val="none" w:sz="0" w:space="0" w:color="auto"/>
        <w:left w:val="none" w:sz="0" w:space="0" w:color="auto"/>
        <w:bottom w:val="none" w:sz="0" w:space="0" w:color="auto"/>
        <w:right w:val="none" w:sz="0" w:space="0" w:color="auto"/>
      </w:divBdr>
    </w:div>
    <w:div w:id="1516110484">
      <w:bodyDiv w:val="1"/>
      <w:marLeft w:val="0"/>
      <w:marRight w:val="0"/>
      <w:marTop w:val="0"/>
      <w:marBottom w:val="0"/>
      <w:divBdr>
        <w:top w:val="none" w:sz="0" w:space="0" w:color="auto"/>
        <w:left w:val="none" w:sz="0" w:space="0" w:color="auto"/>
        <w:bottom w:val="none" w:sz="0" w:space="0" w:color="auto"/>
        <w:right w:val="none" w:sz="0" w:space="0" w:color="auto"/>
      </w:divBdr>
    </w:div>
    <w:div w:id="1516723622">
      <w:bodyDiv w:val="1"/>
      <w:marLeft w:val="0"/>
      <w:marRight w:val="0"/>
      <w:marTop w:val="0"/>
      <w:marBottom w:val="0"/>
      <w:divBdr>
        <w:top w:val="none" w:sz="0" w:space="0" w:color="auto"/>
        <w:left w:val="none" w:sz="0" w:space="0" w:color="auto"/>
        <w:bottom w:val="none" w:sz="0" w:space="0" w:color="auto"/>
        <w:right w:val="none" w:sz="0" w:space="0" w:color="auto"/>
      </w:divBdr>
    </w:div>
    <w:div w:id="1516919075">
      <w:bodyDiv w:val="1"/>
      <w:marLeft w:val="0"/>
      <w:marRight w:val="0"/>
      <w:marTop w:val="0"/>
      <w:marBottom w:val="0"/>
      <w:divBdr>
        <w:top w:val="none" w:sz="0" w:space="0" w:color="auto"/>
        <w:left w:val="none" w:sz="0" w:space="0" w:color="auto"/>
        <w:bottom w:val="none" w:sz="0" w:space="0" w:color="auto"/>
        <w:right w:val="none" w:sz="0" w:space="0" w:color="auto"/>
      </w:divBdr>
      <w:divsChild>
        <w:div w:id="1821457077">
          <w:marLeft w:val="0"/>
          <w:marRight w:val="0"/>
          <w:marTop w:val="0"/>
          <w:marBottom w:val="0"/>
          <w:divBdr>
            <w:top w:val="none" w:sz="0" w:space="0" w:color="auto"/>
            <w:left w:val="none" w:sz="0" w:space="0" w:color="auto"/>
            <w:bottom w:val="none" w:sz="0" w:space="0" w:color="auto"/>
            <w:right w:val="none" w:sz="0" w:space="0" w:color="auto"/>
          </w:divBdr>
          <w:divsChild>
            <w:div w:id="1147480884">
              <w:marLeft w:val="0"/>
              <w:marRight w:val="0"/>
              <w:marTop w:val="0"/>
              <w:marBottom w:val="0"/>
              <w:divBdr>
                <w:top w:val="none" w:sz="0" w:space="0" w:color="auto"/>
                <w:left w:val="none" w:sz="0" w:space="0" w:color="auto"/>
                <w:bottom w:val="none" w:sz="0" w:space="0" w:color="auto"/>
                <w:right w:val="none" w:sz="0" w:space="0" w:color="auto"/>
              </w:divBdr>
              <w:divsChild>
                <w:div w:id="955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901">
      <w:bodyDiv w:val="1"/>
      <w:marLeft w:val="0"/>
      <w:marRight w:val="0"/>
      <w:marTop w:val="0"/>
      <w:marBottom w:val="0"/>
      <w:divBdr>
        <w:top w:val="none" w:sz="0" w:space="0" w:color="auto"/>
        <w:left w:val="none" w:sz="0" w:space="0" w:color="auto"/>
        <w:bottom w:val="none" w:sz="0" w:space="0" w:color="auto"/>
        <w:right w:val="none" w:sz="0" w:space="0" w:color="auto"/>
      </w:divBdr>
    </w:div>
    <w:div w:id="1557861354">
      <w:bodyDiv w:val="1"/>
      <w:marLeft w:val="0"/>
      <w:marRight w:val="0"/>
      <w:marTop w:val="0"/>
      <w:marBottom w:val="0"/>
      <w:divBdr>
        <w:top w:val="none" w:sz="0" w:space="0" w:color="auto"/>
        <w:left w:val="none" w:sz="0" w:space="0" w:color="auto"/>
        <w:bottom w:val="none" w:sz="0" w:space="0" w:color="auto"/>
        <w:right w:val="none" w:sz="0" w:space="0" w:color="auto"/>
      </w:divBdr>
    </w:div>
    <w:div w:id="1560289542">
      <w:bodyDiv w:val="1"/>
      <w:marLeft w:val="0"/>
      <w:marRight w:val="0"/>
      <w:marTop w:val="0"/>
      <w:marBottom w:val="0"/>
      <w:divBdr>
        <w:top w:val="none" w:sz="0" w:space="0" w:color="auto"/>
        <w:left w:val="none" w:sz="0" w:space="0" w:color="auto"/>
        <w:bottom w:val="none" w:sz="0" w:space="0" w:color="auto"/>
        <w:right w:val="none" w:sz="0" w:space="0" w:color="auto"/>
      </w:divBdr>
    </w:div>
    <w:div w:id="1590767628">
      <w:bodyDiv w:val="1"/>
      <w:marLeft w:val="0"/>
      <w:marRight w:val="0"/>
      <w:marTop w:val="0"/>
      <w:marBottom w:val="0"/>
      <w:divBdr>
        <w:top w:val="none" w:sz="0" w:space="0" w:color="auto"/>
        <w:left w:val="none" w:sz="0" w:space="0" w:color="auto"/>
        <w:bottom w:val="none" w:sz="0" w:space="0" w:color="auto"/>
        <w:right w:val="none" w:sz="0" w:space="0" w:color="auto"/>
      </w:divBdr>
    </w:div>
    <w:div w:id="1604848172">
      <w:bodyDiv w:val="1"/>
      <w:marLeft w:val="0"/>
      <w:marRight w:val="0"/>
      <w:marTop w:val="0"/>
      <w:marBottom w:val="0"/>
      <w:divBdr>
        <w:top w:val="none" w:sz="0" w:space="0" w:color="auto"/>
        <w:left w:val="none" w:sz="0" w:space="0" w:color="auto"/>
        <w:bottom w:val="none" w:sz="0" w:space="0" w:color="auto"/>
        <w:right w:val="none" w:sz="0" w:space="0" w:color="auto"/>
      </w:divBdr>
      <w:divsChild>
        <w:div w:id="2002998944">
          <w:marLeft w:val="0"/>
          <w:marRight w:val="0"/>
          <w:marTop w:val="100"/>
          <w:marBottom w:val="100"/>
          <w:divBdr>
            <w:top w:val="none" w:sz="0" w:space="0" w:color="auto"/>
            <w:left w:val="none" w:sz="0" w:space="0" w:color="auto"/>
            <w:bottom w:val="none" w:sz="0" w:space="0" w:color="auto"/>
            <w:right w:val="none" w:sz="0" w:space="0" w:color="auto"/>
          </w:divBdr>
          <w:divsChild>
            <w:div w:id="1147629195">
              <w:marLeft w:val="0"/>
              <w:marRight w:val="0"/>
              <w:marTop w:val="0"/>
              <w:marBottom w:val="0"/>
              <w:divBdr>
                <w:top w:val="none" w:sz="0" w:space="0" w:color="auto"/>
                <w:left w:val="none" w:sz="0" w:space="0" w:color="auto"/>
                <w:bottom w:val="none" w:sz="0" w:space="0" w:color="auto"/>
                <w:right w:val="none" w:sz="0" w:space="0" w:color="auto"/>
              </w:divBdr>
              <w:divsChild>
                <w:div w:id="841630386">
                  <w:marLeft w:val="0"/>
                  <w:marRight w:val="0"/>
                  <w:marTop w:val="0"/>
                  <w:marBottom w:val="0"/>
                  <w:divBdr>
                    <w:top w:val="none" w:sz="0" w:space="0" w:color="auto"/>
                    <w:left w:val="none" w:sz="0" w:space="0" w:color="auto"/>
                    <w:bottom w:val="none" w:sz="0" w:space="0" w:color="auto"/>
                    <w:right w:val="none" w:sz="0" w:space="0" w:color="auto"/>
                  </w:divBdr>
                  <w:divsChild>
                    <w:div w:id="158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77711">
      <w:bodyDiv w:val="1"/>
      <w:marLeft w:val="0"/>
      <w:marRight w:val="0"/>
      <w:marTop w:val="0"/>
      <w:marBottom w:val="0"/>
      <w:divBdr>
        <w:top w:val="none" w:sz="0" w:space="0" w:color="auto"/>
        <w:left w:val="none" w:sz="0" w:space="0" w:color="auto"/>
        <w:bottom w:val="none" w:sz="0" w:space="0" w:color="auto"/>
        <w:right w:val="none" w:sz="0" w:space="0" w:color="auto"/>
      </w:divBdr>
      <w:divsChild>
        <w:div w:id="1220703489">
          <w:marLeft w:val="0"/>
          <w:marRight w:val="0"/>
          <w:marTop w:val="100"/>
          <w:marBottom w:val="100"/>
          <w:divBdr>
            <w:top w:val="none" w:sz="0" w:space="0" w:color="auto"/>
            <w:left w:val="none" w:sz="0" w:space="0" w:color="auto"/>
            <w:bottom w:val="none" w:sz="0" w:space="0" w:color="auto"/>
            <w:right w:val="none" w:sz="0" w:space="0" w:color="auto"/>
          </w:divBdr>
          <w:divsChild>
            <w:div w:id="879630012">
              <w:marLeft w:val="0"/>
              <w:marRight w:val="0"/>
              <w:marTop w:val="0"/>
              <w:marBottom w:val="0"/>
              <w:divBdr>
                <w:top w:val="none" w:sz="0" w:space="0" w:color="auto"/>
                <w:left w:val="none" w:sz="0" w:space="0" w:color="auto"/>
                <w:bottom w:val="none" w:sz="0" w:space="0" w:color="auto"/>
                <w:right w:val="none" w:sz="0" w:space="0" w:color="auto"/>
              </w:divBdr>
              <w:divsChild>
                <w:div w:id="273366675">
                  <w:marLeft w:val="0"/>
                  <w:marRight w:val="0"/>
                  <w:marTop w:val="0"/>
                  <w:marBottom w:val="0"/>
                  <w:divBdr>
                    <w:top w:val="none" w:sz="0" w:space="0" w:color="auto"/>
                    <w:left w:val="none" w:sz="0" w:space="0" w:color="auto"/>
                    <w:bottom w:val="none" w:sz="0" w:space="0" w:color="auto"/>
                    <w:right w:val="none" w:sz="0" w:space="0" w:color="auto"/>
                  </w:divBdr>
                  <w:divsChild>
                    <w:div w:id="17094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20230">
      <w:bodyDiv w:val="1"/>
      <w:marLeft w:val="0"/>
      <w:marRight w:val="0"/>
      <w:marTop w:val="0"/>
      <w:marBottom w:val="0"/>
      <w:divBdr>
        <w:top w:val="none" w:sz="0" w:space="0" w:color="auto"/>
        <w:left w:val="none" w:sz="0" w:space="0" w:color="auto"/>
        <w:bottom w:val="none" w:sz="0" w:space="0" w:color="auto"/>
        <w:right w:val="none" w:sz="0" w:space="0" w:color="auto"/>
      </w:divBdr>
    </w:div>
    <w:div w:id="1625237580">
      <w:bodyDiv w:val="1"/>
      <w:marLeft w:val="0"/>
      <w:marRight w:val="0"/>
      <w:marTop w:val="0"/>
      <w:marBottom w:val="0"/>
      <w:divBdr>
        <w:top w:val="none" w:sz="0" w:space="0" w:color="auto"/>
        <w:left w:val="none" w:sz="0" w:space="0" w:color="auto"/>
        <w:bottom w:val="none" w:sz="0" w:space="0" w:color="auto"/>
        <w:right w:val="none" w:sz="0" w:space="0" w:color="auto"/>
      </w:divBdr>
    </w:div>
    <w:div w:id="1630891546">
      <w:bodyDiv w:val="1"/>
      <w:marLeft w:val="0"/>
      <w:marRight w:val="0"/>
      <w:marTop w:val="0"/>
      <w:marBottom w:val="0"/>
      <w:divBdr>
        <w:top w:val="none" w:sz="0" w:space="0" w:color="auto"/>
        <w:left w:val="none" w:sz="0" w:space="0" w:color="auto"/>
        <w:bottom w:val="none" w:sz="0" w:space="0" w:color="auto"/>
        <w:right w:val="none" w:sz="0" w:space="0" w:color="auto"/>
      </w:divBdr>
      <w:divsChild>
        <w:div w:id="1209338336">
          <w:marLeft w:val="0"/>
          <w:marRight w:val="0"/>
          <w:marTop w:val="0"/>
          <w:marBottom w:val="0"/>
          <w:divBdr>
            <w:top w:val="none" w:sz="0" w:space="0" w:color="auto"/>
            <w:left w:val="none" w:sz="0" w:space="0" w:color="auto"/>
            <w:bottom w:val="none" w:sz="0" w:space="0" w:color="auto"/>
            <w:right w:val="none" w:sz="0" w:space="0" w:color="auto"/>
          </w:divBdr>
          <w:divsChild>
            <w:div w:id="212349824">
              <w:marLeft w:val="0"/>
              <w:marRight w:val="0"/>
              <w:marTop w:val="0"/>
              <w:marBottom w:val="0"/>
              <w:divBdr>
                <w:top w:val="none" w:sz="0" w:space="0" w:color="auto"/>
                <w:left w:val="none" w:sz="0" w:space="0" w:color="auto"/>
                <w:bottom w:val="none" w:sz="0" w:space="0" w:color="auto"/>
                <w:right w:val="none" w:sz="0" w:space="0" w:color="auto"/>
              </w:divBdr>
              <w:divsChild>
                <w:div w:id="767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3191">
      <w:bodyDiv w:val="1"/>
      <w:marLeft w:val="0"/>
      <w:marRight w:val="0"/>
      <w:marTop w:val="0"/>
      <w:marBottom w:val="0"/>
      <w:divBdr>
        <w:top w:val="none" w:sz="0" w:space="0" w:color="auto"/>
        <w:left w:val="none" w:sz="0" w:space="0" w:color="auto"/>
        <w:bottom w:val="none" w:sz="0" w:space="0" w:color="auto"/>
        <w:right w:val="none" w:sz="0" w:space="0" w:color="auto"/>
      </w:divBdr>
    </w:div>
    <w:div w:id="1665938631">
      <w:bodyDiv w:val="1"/>
      <w:marLeft w:val="0"/>
      <w:marRight w:val="0"/>
      <w:marTop w:val="0"/>
      <w:marBottom w:val="0"/>
      <w:divBdr>
        <w:top w:val="none" w:sz="0" w:space="0" w:color="auto"/>
        <w:left w:val="none" w:sz="0" w:space="0" w:color="auto"/>
        <w:bottom w:val="none" w:sz="0" w:space="0" w:color="auto"/>
        <w:right w:val="none" w:sz="0" w:space="0" w:color="auto"/>
      </w:divBdr>
    </w:div>
    <w:div w:id="1674843031">
      <w:bodyDiv w:val="1"/>
      <w:marLeft w:val="0"/>
      <w:marRight w:val="0"/>
      <w:marTop w:val="0"/>
      <w:marBottom w:val="0"/>
      <w:divBdr>
        <w:top w:val="none" w:sz="0" w:space="0" w:color="auto"/>
        <w:left w:val="none" w:sz="0" w:space="0" w:color="auto"/>
        <w:bottom w:val="none" w:sz="0" w:space="0" w:color="auto"/>
        <w:right w:val="none" w:sz="0" w:space="0" w:color="auto"/>
      </w:divBdr>
      <w:divsChild>
        <w:div w:id="983504763">
          <w:marLeft w:val="0"/>
          <w:marRight w:val="0"/>
          <w:marTop w:val="0"/>
          <w:marBottom w:val="0"/>
          <w:divBdr>
            <w:top w:val="none" w:sz="0" w:space="0" w:color="auto"/>
            <w:left w:val="none" w:sz="0" w:space="0" w:color="auto"/>
            <w:bottom w:val="none" w:sz="0" w:space="0" w:color="auto"/>
            <w:right w:val="none" w:sz="0" w:space="0" w:color="auto"/>
          </w:divBdr>
          <w:divsChild>
            <w:div w:id="1646473561">
              <w:marLeft w:val="0"/>
              <w:marRight w:val="0"/>
              <w:marTop w:val="100"/>
              <w:marBottom w:val="100"/>
              <w:divBdr>
                <w:top w:val="none" w:sz="0" w:space="0" w:color="auto"/>
                <w:left w:val="none" w:sz="0" w:space="0" w:color="auto"/>
                <w:bottom w:val="none" w:sz="0" w:space="0" w:color="auto"/>
                <w:right w:val="none" w:sz="0" w:space="0" w:color="auto"/>
              </w:divBdr>
              <w:divsChild>
                <w:div w:id="1660428733">
                  <w:marLeft w:val="0"/>
                  <w:marRight w:val="0"/>
                  <w:marTop w:val="0"/>
                  <w:marBottom w:val="0"/>
                  <w:divBdr>
                    <w:top w:val="none" w:sz="0" w:space="0" w:color="auto"/>
                    <w:left w:val="none" w:sz="0" w:space="0" w:color="auto"/>
                    <w:bottom w:val="none" w:sz="0" w:space="0" w:color="auto"/>
                    <w:right w:val="none" w:sz="0" w:space="0" w:color="auto"/>
                  </w:divBdr>
                  <w:divsChild>
                    <w:div w:id="1826239067">
                      <w:marLeft w:val="0"/>
                      <w:marRight w:val="0"/>
                      <w:marTop w:val="225"/>
                      <w:marBottom w:val="0"/>
                      <w:divBdr>
                        <w:top w:val="none" w:sz="0" w:space="0" w:color="auto"/>
                        <w:left w:val="none" w:sz="0" w:space="0" w:color="auto"/>
                        <w:bottom w:val="none" w:sz="0" w:space="0" w:color="auto"/>
                        <w:right w:val="none" w:sz="0" w:space="0" w:color="auto"/>
                      </w:divBdr>
                      <w:divsChild>
                        <w:div w:id="1450662718">
                          <w:marLeft w:val="0"/>
                          <w:marRight w:val="0"/>
                          <w:marTop w:val="0"/>
                          <w:marBottom w:val="0"/>
                          <w:divBdr>
                            <w:top w:val="none" w:sz="0" w:space="0" w:color="auto"/>
                            <w:left w:val="none" w:sz="0" w:space="0" w:color="auto"/>
                            <w:bottom w:val="none" w:sz="0" w:space="0" w:color="auto"/>
                            <w:right w:val="none" w:sz="0" w:space="0" w:color="auto"/>
                          </w:divBdr>
                          <w:divsChild>
                            <w:div w:id="297610462">
                              <w:marLeft w:val="0"/>
                              <w:marRight w:val="0"/>
                              <w:marTop w:val="0"/>
                              <w:marBottom w:val="0"/>
                              <w:divBdr>
                                <w:top w:val="none" w:sz="0" w:space="0" w:color="auto"/>
                                <w:left w:val="none" w:sz="0" w:space="0" w:color="auto"/>
                                <w:bottom w:val="none" w:sz="0" w:space="0" w:color="auto"/>
                                <w:right w:val="none" w:sz="0" w:space="0" w:color="auto"/>
                              </w:divBdr>
                              <w:divsChild>
                                <w:div w:id="1210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80163">
      <w:bodyDiv w:val="1"/>
      <w:marLeft w:val="0"/>
      <w:marRight w:val="0"/>
      <w:marTop w:val="0"/>
      <w:marBottom w:val="0"/>
      <w:divBdr>
        <w:top w:val="none" w:sz="0" w:space="0" w:color="auto"/>
        <w:left w:val="none" w:sz="0" w:space="0" w:color="auto"/>
        <w:bottom w:val="none" w:sz="0" w:space="0" w:color="auto"/>
        <w:right w:val="none" w:sz="0" w:space="0" w:color="auto"/>
      </w:divBdr>
    </w:div>
    <w:div w:id="1690448367">
      <w:bodyDiv w:val="1"/>
      <w:marLeft w:val="0"/>
      <w:marRight w:val="0"/>
      <w:marTop w:val="0"/>
      <w:marBottom w:val="0"/>
      <w:divBdr>
        <w:top w:val="none" w:sz="0" w:space="0" w:color="auto"/>
        <w:left w:val="none" w:sz="0" w:space="0" w:color="auto"/>
        <w:bottom w:val="none" w:sz="0" w:space="0" w:color="auto"/>
        <w:right w:val="none" w:sz="0" w:space="0" w:color="auto"/>
      </w:divBdr>
    </w:div>
    <w:div w:id="1705204613">
      <w:bodyDiv w:val="1"/>
      <w:marLeft w:val="0"/>
      <w:marRight w:val="0"/>
      <w:marTop w:val="0"/>
      <w:marBottom w:val="0"/>
      <w:divBdr>
        <w:top w:val="none" w:sz="0" w:space="0" w:color="auto"/>
        <w:left w:val="none" w:sz="0" w:space="0" w:color="auto"/>
        <w:bottom w:val="none" w:sz="0" w:space="0" w:color="auto"/>
        <w:right w:val="none" w:sz="0" w:space="0" w:color="auto"/>
      </w:divBdr>
      <w:divsChild>
        <w:div w:id="1854831180">
          <w:marLeft w:val="0"/>
          <w:marRight w:val="0"/>
          <w:marTop w:val="0"/>
          <w:marBottom w:val="0"/>
          <w:divBdr>
            <w:top w:val="none" w:sz="0" w:space="0" w:color="auto"/>
            <w:left w:val="none" w:sz="0" w:space="0" w:color="auto"/>
            <w:bottom w:val="none" w:sz="0" w:space="0" w:color="auto"/>
            <w:right w:val="none" w:sz="0" w:space="0" w:color="auto"/>
          </w:divBdr>
          <w:divsChild>
            <w:div w:id="1811557202">
              <w:marLeft w:val="0"/>
              <w:marRight w:val="0"/>
              <w:marTop w:val="100"/>
              <w:marBottom w:val="100"/>
              <w:divBdr>
                <w:top w:val="none" w:sz="0" w:space="0" w:color="auto"/>
                <w:left w:val="none" w:sz="0" w:space="0" w:color="auto"/>
                <w:bottom w:val="none" w:sz="0" w:space="0" w:color="auto"/>
                <w:right w:val="none" w:sz="0" w:space="0" w:color="auto"/>
              </w:divBdr>
              <w:divsChild>
                <w:div w:id="249123305">
                  <w:marLeft w:val="0"/>
                  <w:marRight w:val="0"/>
                  <w:marTop w:val="0"/>
                  <w:marBottom w:val="0"/>
                  <w:divBdr>
                    <w:top w:val="none" w:sz="0" w:space="0" w:color="auto"/>
                    <w:left w:val="none" w:sz="0" w:space="0" w:color="auto"/>
                    <w:bottom w:val="none" w:sz="0" w:space="0" w:color="auto"/>
                    <w:right w:val="none" w:sz="0" w:space="0" w:color="auto"/>
                  </w:divBdr>
                  <w:divsChild>
                    <w:div w:id="1005791685">
                      <w:marLeft w:val="0"/>
                      <w:marRight w:val="0"/>
                      <w:marTop w:val="225"/>
                      <w:marBottom w:val="0"/>
                      <w:divBdr>
                        <w:top w:val="none" w:sz="0" w:space="0" w:color="auto"/>
                        <w:left w:val="none" w:sz="0" w:space="0" w:color="auto"/>
                        <w:bottom w:val="none" w:sz="0" w:space="0" w:color="auto"/>
                        <w:right w:val="none" w:sz="0" w:space="0" w:color="auto"/>
                      </w:divBdr>
                      <w:divsChild>
                        <w:div w:id="1928343877">
                          <w:marLeft w:val="0"/>
                          <w:marRight w:val="0"/>
                          <w:marTop w:val="0"/>
                          <w:marBottom w:val="0"/>
                          <w:divBdr>
                            <w:top w:val="none" w:sz="0" w:space="0" w:color="auto"/>
                            <w:left w:val="none" w:sz="0" w:space="0" w:color="auto"/>
                            <w:bottom w:val="none" w:sz="0" w:space="0" w:color="auto"/>
                            <w:right w:val="none" w:sz="0" w:space="0" w:color="auto"/>
                          </w:divBdr>
                          <w:divsChild>
                            <w:div w:id="123542202">
                              <w:marLeft w:val="0"/>
                              <w:marRight w:val="0"/>
                              <w:marTop w:val="0"/>
                              <w:marBottom w:val="0"/>
                              <w:divBdr>
                                <w:top w:val="none" w:sz="0" w:space="0" w:color="auto"/>
                                <w:left w:val="none" w:sz="0" w:space="0" w:color="auto"/>
                                <w:bottom w:val="none" w:sz="0" w:space="0" w:color="auto"/>
                                <w:right w:val="none" w:sz="0" w:space="0" w:color="auto"/>
                              </w:divBdr>
                              <w:divsChild>
                                <w:div w:id="1558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488904">
      <w:bodyDiv w:val="1"/>
      <w:marLeft w:val="0"/>
      <w:marRight w:val="0"/>
      <w:marTop w:val="0"/>
      <w:marBottom w:val="0"/>
      <w:divBdr>
        <w:top w:val="none" w:sz="0" w:space="0" w:color="auto"/>
        <w:left w:val="none" w:sz="0" w:space="0" w:color="auto"/>
        <w:bottom w:val="none" w:sz="0" w:space="0" w:color="auto"/>
        <w:right w:val="none" w:sz="0" w:space="0" w:color="auto"/>
      </w:divBdr>
    </w:div>
    <w:div w:id="1722635440">
      <w:bodyDiv w:val="1"/>
      <w:marLeft w:val="0"/>
      <w:marRight w:val="0"/>
      <w:marTop w:val="0"/>
      <w:marBottom w:val="0"/>
      <w:divBdr>
        <w:top w:val="none" w:sz="0" w:space="0" w:color="auto"/>
        <w:left w:val="none" w:sz="0" w:space="0" w:color="auto"/>
        <w:bottom w:val="none" w:sz="0" w:space="0" w:color="auto"/>
        <w:right w:val="none" w:sz="0" w:space="0" w:color="auto"/>
      </w:divBdr>
    </w:div>
    <w:div w:id="1746755287">
      <w:bodyDiv w:val="1"/>
      <w:marLeft w:val="0"/>
      <w:marRight w:val="0"/>
      <w:marTop w:val="0"/>
      <w:marBottom w:val="0"/>
      <w:divBdr>
        <w:top w:val="none" w:sz="0" w:space="0" w:color="auto"/>
        <w:left w:val="none" w:sz="0" w:space="0" w:color="auto"/>
        <w:bottom w:val="none" w:sz="0" w:space="0" w:color="auto"/>
        <w:right w:val="none" w:sz="0" w:space="0" w:color="auto"/>
      </w:divBdr>
    </w:div>
    <w:div w:id="1758361573">
      <w:bodyDiv w:val="1"/>
      <w:marLeft w:val="0"/>
      <w:marRight w:val="0"/>
      <w:marTop w:val="0"/>
      <w:marBottom w:val="0"/>
      <w:divBdr>
        <w:top w:val="none" w:sz="0" w:space="0" w:color="auto"/>
        <w:left w:val="none" w:sz="0" w:space="0" w:color="auto"/>
        <w:bottom w:val="none" w:sz="0" w:space="0" w:color="auto"/>
        <w:right w:val="none" w:sz="0" w:space="0" w:color="auto"/>
      </w:divBdr>
    </w:div>
    <w:div w:id="1761369619">
      <w:bodyDiv w:val="1"/>
      <w:marLeft w:val="0"/>
      <w:marRight w:val="0"/>
      <w:marTop w:val="0"/>
      <w:marBottom w:val="0"/>
      <w:divBdr>
        <w:top w:val="none" w:sz="0" w:space="0" w:color="auto"/>
        <w:left w:val="none" w:sz="0" w:space="0" w:color="auto"/>
        <w:bottom w:val="none" w:sz="0" w:space="0" w:color="auto"/>
        <w:right w:val="none" w:sz="0" w:space="0" w:color="auto"/>
      </w:divBdr>
    </w:div>
    <w:div w:id="1766922135">
      <w:bodyDiv w:val="1"/>
      <w:marLeft w:val="0"/>
      <w:marRight w:val="0"/>
      <w:marTop w:val="0"/>
      <w:marBottom w:val="0"/>
      <w:divBdr>
        <w:top w:val="none" w:sz="0" w:space="0" w:color="auto"/>
        <w:left w:val="none" w:sz="0" w:space="0" w:color="auto"/>
        <w:bottom w:val="none" w:sz="0" w:space="0" w:color="auto"/>
        <w:right w:val="none" w:sz="0" w:space="0" w:color="auto"/>
      </w:divBdr>
    </w:div>
    <w:div w:id="1776821914">
      <w:bodyDiv w:val="1"/>
      <w:marLeft w:val="0"/>
      <w:marRight w:val="0"/>
      <w:marTop w:val="0"/>
      <w:marBottom w:val="0"/>
      <w:divBdr>
        <w:top w:val="none" w:sz="0" w:space="0" w:color="auto"/>
        <w:left w:val="none" w:sz="0" w:space="0" w:color="auto"/>
        <w:bottom w:val="none" w:sz="0" w:space="0" w:color="auto"/>
        <w:right w:val="none" w:sz="0" w:space="0" w:color="auto"/>
      </w:divBdr>
    </w:div>
    <w:div w:id="1789467062">
      <w:bodyDiv w:val="1"/>
      <w:marLeft w:val="0"/>
      <w:marRight w:val="0"/>
      <w:marTop w:val="0"/>
      <w:marBottom w:val="0"/>
      <w:divBdr>
        <w:top w:val="none" w:sz="0" w:space="0" w:color="auto"/>
        <w:left w:val="none" w:sz="0" w:space="0" w:color="auto"/>
        <w:bottom w:val="none" w:sz="0" w:space="0" w:color="auto"/>
        <w:right w:val="none" w:sz="0" w:space="0" w:color="auto"/>
      </w:divBdr>
    </w:div>
    <w:div w:id="1790781927">
      <w:bodyDiv w:val="1"/>
      <w:marLeft w:val="0"/>
      <w:marRight w:val="0"/>
      <w:marTop w:val="0"/>
      <w:marBottom w:val="0"/>
      <w:divBdr>
        <w:top w:val="none" w:sz="0" w:space="0" w:color="auto"/>
        <w:left w:val="none" w:sz="0" w:space="0" w:color="auto"/>
        <w:bottom w:val="none" w:sz="0" w:space="0" w:color="auto"/>
        <w:right w:val="none" w:sz="0" w:space="0" w:color="auto"/>
      </w:divBdr>
    </w:div>
    <w:div w:id="1824882194">
      <w:bodyDiv w:val="1"/>
      <w:marLeft w:val="0"/>
      <w:marRight w:val="0"/>
      <w:marTop w:val="0"/>
      <w:marBottom w:val="0"/>
      <w:divBdr>
        <w:top w:val="none" w:sz="0" w:space="0" w:color="auto"/>
        <w:left w:val="none" w:sz="0" w:space="0" w:color="auto"/>
        <w:bottom w:val="none" w:sz="0" w:space="0" w:color="auto"/>
        <w:right w:val="none" w:sz="0" w:space="0" w:color="auto"/>
      </w:divBdr>
    </w:div>
    <w:div w:id="1843660388">
      <w:bodyDiv w:val="1"/>
      <w:marLeft w:val="0"/>
      <w:marRight w:val="0"/>
      <w:marTop w:val="0"/>
      <w:marBottom w:val="0"/>
      <w:divBdr>
        <w:top w:val="none" w:sz="0" w:space="0" w:color="auto"/>
        <w:left w:val="none" w:sz="0" w:space="0" w:color="auto"/>
        <w:bottom w:val="none" w:sz="0" w:space="0" w:color="auto"/>
        <w:right w:val="none" w:sz="0" w:space="0" w:color="auto"/>
      </w:divBdr>
    </w:div>
    <w:div w:id="1851872592">
      <w:bodyDiv w:val="1"/>
      <w:marLeft w:val="0"/>
      <w:marRight w:val="0"/>
      <w:marTop w:val="0"/>
      <w:marBottom w:val="0"/>
      <w:divBdr>
        <w:top w:val="none" w:sz="0" w:space="0" w:color="auto"/>
        <w:left w:val="none" w:sz="0" w:space="0" w:color="auto"/>
        <w:bottom w:val="none" w:sz="0" w:space="0" w:color="auto"/>
        <w:right w:val="none" w:sz="0" w:space="0" w:color="auto"/>
      </w:divBdr>
    </w:div>
    <w:div w:id="1861966924">
      <w:bodyDiv w:val="1"/>
      <w:marLeft w:val="0"/>
      <w:marRight w:val="0"/>
      <w:marTop w:val="0"/>
      <w:marBottom w:val="0"/>
      <w:divBdr>
        <w:top w:val="none" w:sz="0" w:space="0" w:color="auto"/>
        <w:left w:val="none" w:sz="0" w:space="0" w:color="auto"/>
        <w:bottom w:val="none" w:sz="0" w:space="0" w:color="auto"/>
        <w:right w:val="none" w:sz="0" w:space="0" w:color="auto"/>
      </w:divBdr>
      <w:divsChild>
        <w:div w:id="91511987">
          <w:marLeft w:val="0"/>
          <w:marRight w:val="0"/>
          <w:marTop w:val="0"/>
          <w:marBottom w:val="0"/>
          <w:divBdr>
            <w:top w:val="none" w:sz="0" w:space="0" w:color="auto"/>
            <w:left w:val="none" w:sz="0" w:space="0" w:color="auto"/>
            <w:bottom w:val="none" w:sz="0" w:space="0" w:color="auto"/>
            <w:right w:val="none" w:sz="0" w:space="0" w:color="auto"/>
          </w:divBdr>
          <w:divsChild>
            <w:div w:id="1790316422">
              <w:marLeft w:val="0"/>
              <w:marRight w:val="0"/>
              <w:marTop w:val="0"/>
              <w:marBottom w:val="0"/>
              <w:divBdr>
                <w:top w:val="none" w:sz="0" w:space="0" w:color="auto"/>
                <w:left w:val="none" w:sz="0" w:space="0" w:color="auto"/>
                <w:bottom w:val="none" w:sz="0" w:space="0" w:color="auto"/>
                <w:right w:val="none" w:sz="0" w:space="0" w:color="auto"/>
              </w:divBdr>
              <w:divsChild>
                <w:div w:id="16434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6505">
          <w:marLeft w:val="0"/>
          <w:marRight w:val="0"/>
          <w:marTop w:val="150"/>
          <w:marBottom w:val="0"/>
          <w:divBdr>
            <w:top w:val="none" w:sz="0" w:space="0" w:color="auto"/>
            <w:left w:val="none" w:sz="0" w:space="0" w:color="auto"/>
            <w:bottom w:val="none" w:sz="0" w:space="0" w:color="auto"/>
            <w:right w:val="none" w:sz="0" w:space="0" w:color="auto"/>
          </w:divBdr>
          <w:divsChild>
            <w:div w:id="1662736514">
              <w:marLeft w:val="0"/>
              <w:marRight w:val="0"/>
              <w:marTop w:val="0"/>
              <w:marBottom w:val="0"/>
              <w:divBdr>
                <w:top w:val="single" w:sz="6" w:space="0" w:color="CADAE7"/>
                <w:left w:val="single" w:sz="6" w:space="0" w:color="CADAE7"/>
                <w:bottom w:val="single" w:sz="6" w:space="0" w:color="CADAE7"/>
                <w:right w:val="single" w:sz="6" w:space="0" w:color="CADAE7"/>
              </w:divBdr>
              <w:divsChild>
                <w:div w:id="719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5719">
      <w:bodyDiv w:val="1"/>
      <w:marLeft w:val="0"/>
      <w:marRight w:val="0"/>
      <w:marTop w:val="0"/>
      <w:marBottom w:val="0"/>
      <w:divBdr>
        <w:top w:val="none" w:sz="0" w:space="0" w:color="auto"/>
        <w:left w:val="none" w:sz="0" w:space="0" w:color="auto"/>
        <w:bottom w:val="none" w:sz="0" w:space="0" w:color="auto"/>
        <w:right w:val="none" w:sz="0" w:space="0" w:color="auto"/>
      </w:divBdr>
    </w:div>
    <w:div w:id="1869485856">
      <w:bodyDiv w:val="1"/>
      <w:marLeft w:val="0"/>
      <w:marRight w:val="0"/>
      <w:marTop w:val="0"/>
      <w:marBottom w:val="0"/>
      <w:divBdr>
        <w:top w:val="none" w:sz="0" w:space="0" w:color="auto"/>
        <w:left w:val="none" w:sz="0" w:space="0" w:color="auto"/>
        <w:bottom w:val="none" w:sz="0" w:space="0" w:color="auto"/>
        <w:right w:val="none" w:sz="0" w:space="0" w:color="auto"/>
      </w:divBdr>
    </w:div>
    <w:div w:id="1872567608">
      <w:bodyDiv w:val="1"/>
      <w:marLeft w:val="0"/>
      <w:marRight w:val="0"/>
      <w:marTop w:val="0"/>
      <w:marBottom w:val="0"/>
      <w:divBdr>
        <w:top w:val="none" w:sz="0" w:space="0" w:color="auto"/>
        <w:left w:val="none" w:sz="0" w:space="0" w:color="auto"/>
        <w:bottom w:val="none" w:sz="0" w:space="0" w:color="auto"/>
        <w:right w:val="none" w:sz="0" w:space="0" w:color="auto"/>
      </w:divBdr>
    </w:div>
    <w:div w:id="1879707251">
      <w:bodyDiv w:val="1"/>
      <w:marLeft w:val="0"/>
      <w:marRight w:val="0"/>
      <w:marTop w:val="0"/>
      <w:marBottom w:val="0"/>
      <w:divBdr>
        <w:top w:val="none" w:sz="0" w:space="0" w:color="auto"/>
        <w:left w:val="none" w:sz="0" w:space="0" w:color="auto"/>
        <w:bottom w:val="none" w:sz="0" w:space="0" w:color="auto"/>
        <w:right w:val="none" w:sz="0" w:space="0" w:color="auto"/>
      </w:divBdr>
    </w:div>
    <w:div w:id="1895853577">
      <w:bodyDiv w:val="1"/>
      <w:marLeft w:val="0"/>
      <w:marRight w:val="0"/>
      <w:marTop w:val="0"/>
      <w:marBottom w:val="0"/>
      <w:divBdr>
        <w:top w:val="none" w:sz="0" w:space="0" w:color="auto"/>
        <w:left w:val="none" w:sz="0" w:space="0" w:color="auto"/>
        <w:bottom w:val="none" w:sz="0" w:space="0" w:color="auto"/>
        <w:right w:val="none" w:sz="0" w:space="0" w:color="auto"/>
      </w:divBdr>
    </w:div>
    <w:div w:id="1911766114">
      <w:bodyDiv w:val="1"/>
      <w:marLeft w:val="0"/>
      <w:marRight w:val="0"/>
      <w:marTop w:val="0"/>
      <w:marBottom w:val="0"/>
      <w:divBdr>
        <w:top w:val="none" w:sz="0" w:space="0" w:color="auto"/>
        <w:left w:val="none" w:sz="0" w:space="0" w:color="auto"/>
        <w:bottom w:val="none" w:sz="0" w:space="0" w:color="auto"/>
        <w:right w:val="none" w:sz="0" w:space="0" w:color="auto"/>
      </w:divBdr>
    </w:div>
    <w:div w:id="1919440688">
      <w:bodyDiv w:val="1"/>
      <w:marLeft w:val="0"/>
      <w:marRight w:val="0"/>
      <w:marTop w:val="0"/>
      <w:marBottom w:val="0"/>
      <w:divBdr>
        <w:top w:val="none" w:sz="0" w:space="0" w:color="auto"/>
        <w:left w:val="none" w:sz="0" w:space="0" w:color="auto"/>
        <w:bottom w:val="none" w:sz="0" w:space="0" w:color="auto"/>
        <w:right w:val="none" w:sz="0" w:space="0" w:color="auto"/>
      </w:divBdr>
    </w:div>
    <w:div w:id="1919705558">
      <w:bodyDiv w:val="1"/>
      <w:marLeft w:val="0"/>
      <w:marRight w:val="0"/>
      <w:marTop w:val="0"/>
      <w:marBottom w:val="0"/>
      <w:divBdr>
        <w:top w:val="none" w:sz="0" w:space="0" w:color="auto"/>
        <w:left w:val="none" w:sz="0" w:space="0" w:color="auto"/>
        <w:bottom w:val="none" w:sz="0" w:space="0" w:color="auto"/>
        <w:right w:val="none" w:sz="0" w:space="0" w:color="auto"/>
      </w:divBdr>
    </w:div>
    <w:div w:id="1920669307">
      <w:bodyDiv w:val="1"/>
      <w:marLeft w:val="0"/>
      <w:marRight w:val="0"/>
      <w:marTop w:val="0"/>
      <w:marBottom w:val="0"/>
      <w:divBdr>
        <w:top w:val="none" w:sz="0" w:space="0" w:color="auto"/>
        <w:left w:val="none" w:sz="0" w:space="0" w:color="auto"/>
        <w:bottom w:val="none" w:sz="0" w:space="0" w:color="auto"/>
        <w:right w:val="none" w:sz="0" w:space="0" w:color="auto"/>
      </w:divBdr>
    </w:div>
    <w:div w:id="1935897179">
      <w:bodyDiv w:val="1"/>
      <w:marLeft w:val="0"/>
      <w:marRight w:val="0"/>
      <w:marTop w:val="0"/>
      <w:marBottom w:val="0"/>
      <w:divBdr>
        <w:top w:val="none" w:sz="0" w:space="0" w:color="auto"/>
        <w:left w:val="none" w:sz="0" w:space="0" w:color="auto"/>
        <w:bottom w:val="none" w:sz="0" w:space="0" w:color="auto"/>
        <w:right w:val="none" w:sz="0" w:space="0" w:color="auto"/>
      </w:divBdr>
    </w:div>
    <w:div w:id="1936743732">
      <w:bodyDiv w:val="1"/>
      <w:marLeft w:val="0"/>
      <w:marRight w:val="0"/>
      <w:marTop w:val="0"/>
      <w:marBottom w:val="0"/>
      <w:divBdr>
        <w:top w:val="none" w:sz="0" w:space="0" w:color="auto"/>
        <w:left w:val="none" w:sz="0" w:space="0" w:color="auto"/>
        <w:bottom w:val="none" w:sz="0" w:space="0" w:color="auto"/>
        <w:right w:val="none" w:sz="0" w:space="0" w:color="auto"/>
      </w:divBdr>
    </w:div>
    <w:div w:id="1950890522">
      <w:bodyDiv w:val="1"/>
      <w:marLeft w:val="0"/>
      <w:marRight w:val="0"/>
      <w:marTop w:val="0"/>
      <w:marBottom w:val="0"/>
      <w:divBdr>
        <w:top w:val="none" w:sz="0" w:space="0" w:color="auto"/>
        <w:left w:val="none" w:sz="0" w:space="0" w:color="auto"/>
        <w:bottom w:val="none" w:sz="0" w:space="0" w:color="auto"/>
        <w:right w:val="none" w:sz="0" w:space="0" w:color="auto"/>
      </w:divBdr>
    </w:div>
    <w:div w:id="1992371157">
      <w:bodyDiv w:val="1"/>
      <w:marLeft w:val="0"/>
      <w:marRight w:val="0"/>
      <w:marTop w:val="0"/>
      <w:marBottom w:val="0"/>
      <w:divBdr>
        <w:top w:val="none" w:sz="0" w:space="0" w:color="auto"/>
        <w:left w:val="none" w:sz="0" w:space="0" w:color="auto"/>
        <w:bottom w:val="none" w:sz="0" w:space="0" w:color="auto"/>
        <w:right w:val="none" w:sz="0" w:space="0" w:color="auto"/>
      </w:divBdr>
    </w:div>
    <w:div w:id="1995142967">
      <w:bodyDiv w:val="1"/>
      <w:marLeft w:val="0"/>
      <w:marRight w:val="0"/>
      <w:marTop w:val="0"/>
      <w:marBottom w:val="0"/>
      <w:divBdr>
        <w:top w:val="none" w:sz="0" w:space="0" w:color="auto"/>
        <w:left w:val="none" w:sz="0" w:space="0" w:color="auto"/>
        <w:bottom w:val="none" w:sz="0" w:space="0" w:color="auto"/>
        <w:right w:val="none" w:sz="0" w:space="0" w:color="auto"/>
      </w:divBdr>
    </w:div>
    <w:div w:id="2045255044">
      <w:bodyDiv w:val="1"/>
      <w:marLeft w:val="0"/>
      <w:marRight w:val="0"/>
      <w:marTop w:val="0"/>
      <w:marBottom w:val="0"/>
      <w:divBdr>
        <w:top w:val="none" w:sz="0" w:space="0" w:color="auto"/>
        <w:left w:val="none" w:sz="0" w:space="0" w:color="auto"/>
        <w:bottom w:val="none" w:sz="0" w:space="0" w:color="auto"/>
        <w:right w:val="none" w:sz="0" w:space="0" w:color="auto"/>
      </w:divBdr>
    </w:div>
    <w:div w:id="2048481430">
      <w:bodyDiv w:val="1"/>
      <w:marLeft w:val="0"/>
      <w:marRight w:val="0"/>
      <w:marTop w:val="0"/>
      <w:marBottom w:val="0"/>
      <w:divBdr>
        <w:top w:val="none" w:sz="0" w:space="0" w:color="auto"/>
        <w:left w:val="none" w:sz="0" w:space="0" w:color="auto"/>
        <w:bottom w:val="none" w:sz="0" w:space="0" w:color="auto"/>
        <w:right w:val="none" w:sz="0" w:space="0" w:color="auto"/>
      </w:divBdr>
      <w:divsChild>
        <w:div w:id="655961788">
          <w:marLeft w:val="0"/>
          <w:marRight w:val="0"/>
          <w:marTop w:val="0"/>
          <w:marBottom w:val="0"/>
          <w:divBdr>
            <w:top w:val="none" w:sz="0" w:space="0" w:color="auto"/>
            <w:left w:val="none" w:sz="0" w:space="0" w:color="auto"/>
            <w:bottom w:val="none" w:sz="0" w:space="0" w:color="auto"/>
            <w:right w:val="none" w:sz="0" w:space="0" w:color="auto"/>
          </w:divBdr>
          <w:divsChild>
            <w:div w:id="742918069">
              <w:marLeft w:val="0"/>
              <w:marRight w:val="0"/>
              <w:marTop w:val="0"/>
              <w:marBottom w:val="0"/>
              <w:divBdr>
                <w:top w:val="none" w:sz="0" w:space="0" w:color="auto"/>
                <w:left w:val="none" w:sz="0" w:space="0" w:color="auto"/>
                <w:bottom w:val="none" w:sz="0" w:space="0" w:color="auto"/>
                <w:right w:val="none" w:sz="0" w:space="0" w:color="auto"/>
              </w:divBdr>
              <w:divsChild>
                <w:div w:id="14996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641">
      <w:bodyDiv w:val="1"/>
      <w:marLeft w:val="0"/>
      <w:marRight w:val="0"/>
      <w:marTop w:val="0"/>
      <w:marBottom w:val="0"/>
      <w:divBdr>
        <w:top w:val="none" w:sz="0" w:space="0" w:color="auto"/>
        <w:left w:val="none" w:sz="0" w:space="0" w:color="auto"/>
        <w:bottom w:val="none" w:sz="0" w:space="0" w:color="auto"/>
        <w:right w:val="none" w:sz="0" w:space="0" w:color="auto"/>
      </w:divBdr>
    </w:div>
    <w:div w:id="2069649795">
      <w:bodyDiv w:val="1"/>
      <w:marLeft w:val="0"/>
      <w:marRight w:val="0"/>
      <w:marTop w:val="0"/>
      <w:marBottom w:val="0"/>
      <w:divBdr>
        <w:top w:val="none" w:sz="0" w:space="0" w:color="auto"/>
        <w:left w:val="none" w:sz="0" w:space="0" w:color="auto"/>
        <w:bottom w:val="none" w:sz="0" w:space="0" w:color="auto"/>
        <w:right w:val="none" w:sz="0" w:space="0" w:color="auto"/>
      </w:divBdr>
    </w:div>
    <w:div w:id="2077623764">
      <w:bodyDiv w:val="1"/>
      <w:marLeft w:val="0"/>
      <w:marRight w:val="0"/>
      <w:marTop w:val="0"/>
      <w:marBottom w:val="0"/>
      <w:divBdr>
        <w:top w:val="none" w:sz="0" w:space="0" w:color="auto"/>
        <w:left w:val="none" w:sz="0" w:space="0" w:color="auto"/>
        <w:bottom w:val="none" w:sz="0" w:space="0" w:color="auto"/>
        <w:right w:val="none" w:sz="0" w:space="0" w:color="auto"/>
      </w:divBdr>
      <w:divsChild>
        <w:div w:id="1920939498">
          <w:marLeft w:val="0"/>
          <w:marRight w:val="0"/>
          <w:marTop w:val="0"/>
          <w:marBottom w:val="0"/>
          <w:divBdr>
            <w:top w:val="none" w:sz="0" w:space="0" w:color="auto"/>
            <w:left w:val="none" w:sz="0" w:space="0" w:color="auto"/>
            <w:bottom w:val="none" w:sz="0" w:space="0" w:color="auto"/>
            <w:right w:val="none" w:sz="0" w:space="0" w:color="auto"/>
          </w:divBdr>
          <w:divsChild>
            <w:div w:id="2108693052">
              <w:marLeft w:val="0"/>
              <w:marRight w:val="0"/>
              <w:marTop w:val="0"/>
              <w:marBottom w:val="0"/>
              <w:divBdr>
                <w:top w:val="none" w:sz="0" w:space="0" w:color="auto"/>
                <w:left w:val="none" w:sz="0" w:space="0" w:color="auto"/>
                <w:bottom w:val="none" w:sz="0" w:space="0" w:color="auto"/>
                <w:right w:val="none" w:sz="0" w:space="0" w:color="auto"/>
              </w:divBdr>
              <w:divsChild>
                <w:div w:id="887766474">
                  <w:marLeft w:val="0"/>
                  <w:marRight w:val="0"/>
                  <w:marTop w:val="0"/>
                  <w:marBottom w:val="0"/>
                  <w:divBdr>
                    <w:top w:val="none" w:sz="0" w:space="0" w:color="auto"/>
                    <w:left w:val="none" w:sz="0" w:space="0" w:color="auto"/>
                    <w:bottom w:val="none" w:sz="0" w:space="0" w:color="auto"/>
                    <w:right w:val="none" w:sz="0" w:space="0" w:color="auto"/>
                  </w:divBdr>
                  <w:divsChild>
                    <w:div w:id="1552036886">
                      <w:marLeft w:val="0"/>
                      <w:marRight w:val="0"/>
                      <w:marTop w:val="0"/>
                      <w:marBottom w:val="225"/>
                      <w:divBdr>
                        <w:top w:val="none" w:sz="0" w:space="0" w:color="auto"/>
                        <w:left w:val="none" w:sz="0" w:space="0" w:color="auto"/>
                        <w:bottom w:val="none" w:sz="0" w:space="0" w:color="auto"/>
                        <w:right w:val="none" w:sz="0" w:space="0" w:color="auto"/>
                      </w:divBdr>
                      <w:divsChild>
                        <w:div w:id="907499161">
                          <w:marLeft w:val="0"/>
                          <w:marRight w:val="0"/>
                          <w:marTop w:val="0"/>
                          <w:marBottom w:val="0"/>
                          <w:divBdr>
                            <w:top w:val="none" w:sz="0" w:space="0" w:color="auto"/>
                            <w:left w:val="none" w:sz="0" w:space="0" w:color="auto"/>
                            <w:bottom w:val="none" w:sz="0" w:space="0" w:color="auto"/>
                            <w:right w:val="none" w:sz="0" w:space="0" w:color="auto"/>
                          </w:divBdr>
                          <w:divsChild>
                            <w:div w:id="340397532">
                              <w:marLeft w:val="3600"/>
                              <w:marRight w:val="0"/>
                              <w:marTop w:val="0"/>
                              <w:marBottom w:val="0"/>
                              <w:divBdr>
                                <w:top w:val="none" w:sz="0" w:space="0" w:color="auto"/>
                                <w:left w:val="none" w:sz="0" w:space="0" w:color="auto"/>
                                <w:bottom w:val="none" w:sz="0" w:space="0" w:color="auto"/>
                                <w:right w:val="none" w:sz="0" w:space="0" w:color="auto"/>
                              </w:divBdr>
                              <w:divsChild>
                                <w:div w:id="921832853">
                                  <w:marLeft w:val="0"/>
                                  <w:marRight w:val="0"/>
                                  <w:marTop w:val="225"/>
                                  <w:marBottom w:val="225"/>
                                  <w:divBdr>
                                    <w:top w:val="none" w:sz="0" w:space="0" w:color="auto"/>
                                    <w:left w:val="none" w:sz="0" w:space="0" w:color="auto"/>
                                    <w:bottom w:val="none" w:sz="0" w:space="0" w:color="auto"/>
                                    <w:right w:val="none" w:sz="0" w:space="0" w:color="auto"/>
                                  </w:divBdr>
                                  <w:divsChild>
                                    <w:div w:id="984510206">
                                      <w:marLeft w:val="0"/>
                                      <w:marRight w:val="0"/>
                                      <w:marTop w:val="300"/>
                                      <w:marBottom w:val="37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sChild>
    </w:div>
    <w:div w:id="2083335302">
      <w:bodyDiv w:val="1"/>
      <w:marLeft w:val="0"/>
      <w:marRight w:val="0"/>
      <w:marTop w:val="0"/>
      <w:marBottom w:val="0"/>
      <w:divBdr>
        <w:top w:val="none" w:sz="0" w:space="0" w:color="auto"/>
        <w:left w:val="none" w:sz="0" w:space="0" w:color="auto"/>
        <w:bottom w:val="none" w:sz="0" w:space="0" w:color="auto"/>
        <w:right w:val="none" w:sz="0" w:space="0" w:color="auto"/>
      </w:divBdr>
    </w:div>
    <w:div w:id="2108386920">
      <w:bodyDiv w:val="1"/>
      <w:marLeft w:val="0"/>
      <w:marRight w:val="0"/>
      <w:marTop w:val="0"/>
      <w:marBottom w:val="0"/>
      <w:divBdr>
        <w:top w:val="none" w:sz="0" w:space="0" w:color="auto"/>
        <w:left w:val="none" w:sz="0" w:space="0" w:color="auto"/>
        <w:bottom w:val="none" w:sz="0" w:space="0" w:color="auto"/>
        <w:right w:val="none" w:sz="0" w:space="0" w:color="auto"/>
      </w:divBdr>
    </w:div>
    <w:div w:id="2116897578">
      <w:bodyDiv w:val="1"/>
      <w:marLeft w:val="0"/>
      <w:marRight w:val="0"/>
      <w:marTop w:val="0"/>
      <w:marBottom w:val="0"/>
      <w:divBdr>
        <w:top w:val="none" w:sz="0" w:space="0" w:color="auto"/>
        <w:left w:val="none" w:sz="0" w:space="0" w:color="auto"/>
        <w:bottom w:val="none" w:sz="0" w:space="0" w:color="auto"/>
        <w:right w:val="none" w:sz="0" w:space="0" w:color="auto"/>
      </w:divBdr>
    </w:div>
    <w:div w:id="2117629477">
      <w:bodyDiv w:val="1"/>
      <w:marLeft w:val="0"/>
      <w:marRight w:val="0"/>
      <w:marTop w:val="0"/>
      <w:marBottom w:val="0"/>
      <w:divBdr>
        <w:top w:val="none" w:sz="0" w:space="0" w:color="auto"/>
        <w:left w:val="none" w:sz="0" w:space="0" w:color="auto"/>
        <w:bottom w:val="none" w:sz="0" w:space="0" w:color="auto"/>
        <w:right w:val="none" w:sz="0" w:space="0" w:color="auto"/>
      </w:divBdr>
    </w:div>
    <w:div w:id="213551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F3D53-D103-48AC-8661-DBEFCF7A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1700</Words>
  <Characters>9692</Characters>
  <Application>Microsoft Office Word</Application>
  <DocSecurity>0</DocSecurity>
  <Lines>80</Lines>
  <Paragraphs>22</Paragraphs>
  <ScaleCrop>false</ScaleCrop>
  <Company>微软中国</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发展规划处高教研究室</dc:creator>
  <cp:lastModifiedBy>xb21cn</cp:lastModifiedBy>
  <cp:revision>4</cp:revision>
  <cp:lastPrinted>2018-11-01T03:38:00Z</cp:lastPrinted>
  <dcterms:created xsi:type="dcterms:W3CDTF">2018-11-02T00:46:00Z</dcterms:created>
  <dcterms:modified xsi:type="dcterms:W3CDTF">2018-11-02T02:32:00Z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